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Look w:val="04A0" w:firstRow="1" w:lastRow="0" w:firstColumn="1" w:lastColumn="0" w:noHBand="0" w:noVBand="1"/>
      </w:tblPr>
      <w:tblGrid>
        <w:gridCol w:w="1013"/>
        <w:gridCol w:w="6774"/>
        <w:gridCol w:w="6829"/>
      </w:tblGrid>
      <w:tr w:rsidR="00B95EA6" w:rsidTr="00A26A8C">
        <w:tc>
          <w:tcPr>
            <w:tcW w:w="0" w:type="auto"/>
            <w:shd w:val="clear" w:color="auto" w:fill="auto"/>
          </w:tcPr>
          <w:p w:rsidR="00B95EA6" w:rsidRDefault="00B95EA6">
            <w:r>
              <w:t>Segment ID</w:t>
            </w:r>
          </w:p>
        </w:tc>
        <w:tc>
          <w:tcPr>
            <w:tcW w:w="0" w:type="auto"/>
            <w:shd w:val="clear" w:color="auto" w:fill="auto"/>
          </w:tcPr>
          <w:p w:rsidR="00B95EA6" w:rsidRDefault="00B95EA6">
            <w:bookmarkStart w:id="0" w:name="_GoBack"/>
            <w:bookmarkEnd w:id="0"/>
            <w:r>
              <w:t>Source segment</w:t>
            </w:r>
          </w:p>
        </w:tc>
        <w:tc>
          <w:tcPr>
            <w:tcW w:w="0" w:type="auto"/>
            <w:shd w:val="clear" w:color="auto" w:fill="auto"/>
          </w:tcPr>
          <w:p w:rsidR="00B95EA6" w:rsidRDefault="00B95EA6">
            <w:r>
              <w:t>Target segment</w:t>
            </w:r>
          </w:p>
        </w:tc>
      </w:tr>
      <w:tr w:rsidR="00B95EA6" w:rsidTr="00A26A8C">
        <w:tc>
          <w:tcPr>
            <w:tcW w:w="0" w:type="auto"/>
            <w:shd w:val="clear" w:color="auto" w:fill="auto"/>
          </w:tcPr>
          <w:p w:rsidR="00B95EA6" w:rsidRDefault="00B95EA6">
            <w:pPr>
              <w:rPr>
                <w:lang w:val="en-GB"/>
              </w:rPr>
            </w:pPr>
            <w:r>
              <w:rPr>
                <w:rStyle w:val="SegmentID"/>
                <w:lang w:val="en-GB"/>
              </w:rPr>
              <w:t>1</w:t>
            </w:r>
            <w:r>
              <w:rPr>
                <w:rStyle w:val="TransUnitID"/>
                <w:lang w:val="en-GB"/>
              </w:rPr>
              <w:t>b910e076-ebf9-40ae-9026-b930f9ca87c9</w:t>
            </w:r>
          </w:p>
        </w:tc>
        <w:tc>
          <w:tcPr>
            <w:tcW w:w="0" w:type="auto"/>
            <w:shd w:val="clear" w:color="auto" w:fill="auto"/>
          </w:tcPr>
          <w:p w:rsidR="00B95EA6" w:rsidRDefault="00B95EA6">
            <w:pPr>
              <w:rPr>
                <w:lang w:val="en-GB"/>
              </w:rPr>
            </w:pPr>
            <w:r>
              <w:rPr>
                <w:lang w:val="en-GB"/>
              </w:rPr>
              <w:t>DECISION (EU) 2017/899 OF THE EUROPEAN PARLIAMENT AND OF THE COUNCIL</w:t>
            </w:r>
          </w:p>
        </w:tc>
        <w:tc>
          <w:tcPr>
            <w:tcW w:w="0" w:type="auto"/>
            <w:shd w:val="clear" w:color="auto" w:fill="auto"/>
          </w:tcPr>
          <w:p w:rsidR="00B95EA6" w:rsidRDefault="00B95EA6">
            <w:pPr>
              <w:rPr>
                <w:lang w:val="cs-CZ"/>
              </w:rPr>
            </w:pPr>
            <w:r>
              <w:rPr>
                <w:lang w:val="cs-CZ"/>
              </w:rPr>
              <w:t>ROZHODNUTÍ RADY (EU) [2017/899 EVROPSKÉHO PARLAMENTU A RADY.</w:t>
            </w:r>
          </w:p>
        </w:tc>
      </w:tr>
      <w:tr w:rsidR="00B95EA6" w:rsidTr="00A26A8C">
        <w:tc>
          <w:tcPr>
            <w:tcW w:w="0" w:type="auto"/>
            <w:shd w:val="clear" w:color="auto" w:fill="auto"/>
          </w:tcPr>
          <w:p w:rsidR="00B95EA6" w:rsidRDefault="00B95EA6">
            <w:pPr>
              <w:rPr>
                <w:lang w:val="en-GB"/>
              </w:rPr>
            </w:pPr>
            <w:r>
              <w:rPr>
                <w:rStyle w:val="SegmentID"/>
                <w:lang w:val="en-GB"/>
              </w:rPr>
              <w:t>2</w:t>
            </w:r>
            <w:r>
              <w:rPr>
                <w:rStyle w:val="TransUnitID"/>
                <w:lang w:val="en-GB"/>
              </w:rPr>
              <w:t>f1289443-cd40-47e3-8d93-5b85858bd191</w:t>
            </w:r>
          </w:p>
        </w:tc>
        <w:tc>
          <w:tcPr>
            <w:tcW w:w="0" w:type="auto"/>
            <w:shd w:val="clear" w:color="auto" w:fill="auto"/>
          </w:tcPr>
          <w:p w:rsidR="00B95EA6" w:rsidRDefault="00B95EA6">
            <w:pPr>
              <w:rPr>
                <w:lang w:val="en-GB"/>
              </w:rPr>
            </w:pPr>
            <w:r>
              <w:rPr>
                <w:lang w:val="en-GB"/>
              </w:rPr>
              <w:t>of 17 May 2017</w:t>
            </w:r>
          </w:p>
        </w:tc>
        <w:tc>
          <w:tcPr>
            <w:tcW w:w="0" w:type="auto"/>
            <w:shd w:val="clear" w:color="auto" w:fill="auto"/>
          </w:tcPr>
          <w:p w:rsidR="00B95EA6" w:rsidRDefault="00B95EA6">
            <w:pPr>
              <w:rPr>
                <w:lang w:val="cs-CZ"/>
              </w:rPr>
            </w:pPr>
            <w:r>
              <w:rPr>
                <w:lang w:val="cs-CZ"/>
              </w:rPr>
              <w:t>Dne 17. května 2017.</w:t>
            </w:r>
          </w:p>
        </w:tc>
      </w:tr>
      <w:tr w:rsidR="00B95EA6" w:rsidTr="00A26A8C">
        <w:tc>
          <w:tcPr>
            <w:tcW w:w="0" w:type="auto"/>
            <w:shd w:val="clear" w:color="auto" w:fill="auto"/>
          </w:tcPr>
          <w:p w:rsidR="00B95EA6" w:rsidRDefault="00B95EA6">
            <w:pPr>
              <w:rPr>
                <w:lang w:val="en-GB"/>
              </w:rPr>
            </w:pPr>
            <w:r>
              <w:rPr>
                <w:rStyle w:val="SegmentID"/>
                <w:lang w:val="en-GB"/>
              </w:rPr>
              <w:t>3</w:t>
            </w:r>
            <w:r>
              <w:rPr>
                <w:rStyle w:val="TransUnitID"/>
                <w:lang w:val="en-GB"/>
              </w:rPr>
              <w:t>76fa4459-668d-4824-a9e8-38a2c23e428c</w:t>
            </w:r>
          </w:p>
        </w:tc>
        <w:tc>
          <w:tcPr>
            <w:tcW w:w="0" w:type="auto"/>
            <w:shd w:val="clear" w:color="auto" w:fill="auto"/>
          </w:tcPr>
          <w:p w:rsidR="00B95EA6" w:rsidRDefault="00B95EA6">
            <w:pPr>
              <w:rPr>
                <w:lang w:val="en-GB"/>
              </w:rPr>
            </w:pPr>
            <w:r>
              <w:rPr>
                <w:lang w:val="en-GB"/>
              </w:rPr>
              <w:t>on the use of the 470-790 MHz frequency band in the Union</w:t>
            </w:r>
          </w:p>
        </w:tc>
        <w:tc>
          <w:tcPr>
            <w:tcW w:w="0" w:type="auto"/>
            <w:shd w:val="clear" w:color="auto" w:fill="auto"/>
          </w:tcPr>
          <w:p w:rsidR="00B95EA6" w:rsidRDefault="00B95EA6">
            <w:pPr>
              <w:rPr>
                <w:lang w:val="cs-CZ"/>
              </w:rPr>
            </w:pPr>
            <w:r>
              <w:rPr>
                <w:lang w:val="cs-CZ"/>
              </w:rPr>
              <w:t>Použití kmitočtového pásma 470–790 MHz v Unii</w:t>
            </w:r>
          </w:p>
        </w:tc>
      </w:tr>
      <w:tr w:rsidR="00B95EA6" w:rsidTr="00A26A8C">
        <w:tc>
          <w:tcPr>
            <w:tcW w:w="0" w:type="auto"/>
            <w:shd w:val="clear" w:color="auto" w:fill="auto"/>
          </w:tcPr>
          <w:p w:rsidR="00B95EA6" w:rsidRDefault="00B95EA6">
            <w:pPr>
              <w:rPr>
                <w:lang w:val="en-GB"/>
              </w:rPr>
            </w:pPr>
            <w:r>
              <w:rPr>
                <w:rStyle w:val="SegmentID"/>
                <w:lang w:val="en-GB"/>
              </w:rPr>
              <w:t>4</w:t>
            </w:r>
            <w:r>
              <w:rPr>
                <w:rStyle w:val="TransUnitID"/>
                <w:lang w:val="en-GB"/>
              </w:rPr>
              <w:t>d23c69c0-224a-49f2-8e23-ac0096f28bc6</w:t>
            </w:r>
          </w:p>
        </w:tc>
        <w:tc>
          <w:tcPr>
            <w:tcW w:w="0" w:type="auto"/>
            <w:shd w:val="clear" w:color="auto" w:fill="auto"/>
          </w:tcPr>
          <w:p w:rsidR="00B95EA6" w:rsidRDefault="00B95EA6">
            <w:pPr>
              <w:rPr>
                <w:lang w:val="en-GB"/>
              </w:rPr>
            </w:pPr>
            <w:r>
              <w:rPr>
                <w:lang w:val="en-GB"/>
              </w:rPr>
              <w:t>THE EUROPEAN PARLIAMENT AND THE COUNCIL OF THE EUROPEAN UNION,</w:t>
            </w:r>
          </w:p>
        </w:tc>
        <w:tc>
          <w:tcPr>
            <w:tcW w:w="0" w:type="auto"/>
            <w:shd w:val="clear" w:color="auto" w:fill="auto"/>
          </w:tcPr>
          <w:p w:rsidR="00B95EA6" w:rsidRDefault="00B95EA6">
            <w:pPr>
              <w:rPr>
                <w:lang w:val="cs-CZ"/>
              </w:rPr>
            </w:pPr>
            <w:r>
              <w:rPr>
                <w:lang w:val="cs-CZ"/>
              </w:rPr>
              <w:t>EVROPSKÝ PARLAMENT A RADA EVROPSKÉ UNIE</w:t>
            </w:r>
          </w:p>
        </w:tc>
      </w:tr>
      <w:tr w:rsidR="00B95EA6" w:rsidTr="00A26A8C">
        <w:tc>
          <w:tcPr>
            <w:tcW w:w="0" w:type="auto"/>
            <w:shd w:val="clear" w:color="auto" w:fill="auto"/>
          </w:tcPr>
          <w:p w:rsidR="00B95EA6" w:rsidRDefault="00B95EA6">
            <w:pPr>
              <w:rPr>
                <w:lang w:val="en-GB"/>
              </w:rPr>
            </w:pPr>
            <w:r>
              <w:rPr>
                <w:rStyle w:val="SegmentID"/>
                <w:lang w:val="en-GB"/>
              </w:rPr>
              <w:t>5</w:t>
            </w:r>
            <w:r>
              <w:rPr>
                <w:rStyle w:val="TransUnitID"/>
                <w:lang w:val="en-GB"/>
              </w:rPr>
              <w:t>cc56d61d-8959-46e2-bdca-47b2a16a85a8</w:t>
            </w:r>
          </w:p>
        </w:tc>
        <w:tc>
          <w:tcPr>
            <w:tcW w:w="0" w:type="auto"/>
            <w:shd w:val="clear" w:color="auto" w:fill="auto"/>
          </w:tcPr>
          <w:p w:rsidR="00B95EA6" w:rsidRDefault="00B95EA6">
            <w:pPr>
              <w:rPr>
                <w:lang w:val="en-GB"/>
              </w:rPr>
            </w:pPr>
            <w:r>
              <w:rPr>
                <w:lang w:val="en-GB"/>
              </w:rPr>
              <w:t>Having regard to the Treaty on the Functioning of the European Union, and in particular Article 114 thereof,</w:t>
            </w:r>
          </w:p>
        </w:tc>
        <w:tc>
          <w:tcPr>
            <w:tcW w:w="0" w:type="auto"/>
            <w:shd w:val="clear" w:color="auto" w:fill="auto"/>
          </w:tcPr>
          <w:p w:rsidR="00B95EA6" w:rsidRDefault="00B95EA6">
            <w:pPr>
              <w:rPr>
                <w:lang w:val="cs-CZ"/>
              </w:rPr>
            </w:pPr>
            <w:r>
              <w:rPr>
                <w:lang w:val="cs-CZ"/>
              </w:rPr>
              <w:t>s ohledem na Smlouvu o fungování Evropské unie, a zejména na článek 114 této smlouvy,</w:t>
            </w:r>
          </w:p>
        </w:tc>
      </w:tr>
      <w:tr w:rsidR="00B95EA6" w:rsidTr="00A26A8C">
        <w:tc>
          <w:tcPr>
            <w:tcW w:w="0" w:type="auto"/>
            <w:shd w:val="clear" w:color="auto" w:fill="auto"/>
          </w:tcPr>
          <w:p w:rsidR="00B95EA6" w:rsidRDefault="00B95EA6">
            <w:pPr>
              <w:rPr>
                <w:lang w:val="en-GB"/>
              </w:rPr>
            </w:pPr>
            <w:r>
              <w:rPr>
                <w:rStyle w:val="SegmentID"/>
                <w:lang w:val="en-GB"/>
              </w:rPr>
              <w:t>6</w:t>
            </w:r>
            <w:r>
              <w:rPr>
                <w:rStyle w:val="TransUnitID"/>
                <w:lang w:val="en-GB"/>
              </w:rPr>
              <w:t>51ad2709-f548-4a6c-a632-71973a4f3c7b</w:t>
            </w:r>
          </w:p>
        </w:tc>
        <w:tc>
          <w:tcPr>
            <w:tcW w:w="0" w:type="auto"/>
            <w:shd w:val="clear" w:color="auto" w:fill="auto"/>
          </w:tcPr>
          <w:p w:rsidR="00B95EA6" w:rsidRDefault="00B95EA6">
            <w:pPr>
              <w:rPr>
                <w:lang w:val="en-GB"/>
              </w:rPr>
            </w:pPr>
            <w:r>
              <w:rPr>
                <w:lang w:val="en-GB"/>
              </w:rPr>
              <w:t>Having regard to the proposal from the European Commission,</w:t>
            </w:r>
          </w:p>
        </w:tc>
        <w:tc>
          <w:tcPr>
            <w:tcW w:w="0" w:type="auto"/>
            <w:shd w:val="clear" w:color="auto" w:fill="auto"/>
          </w:tcPr>
          <w:p w:rsidR="00B95EA6" w:rsidRDefault="00B95EA6">
            <w:pPr>
              <w:rPr>
                <w:lang w:val="cs-CZ"/>
              </w:rPr>
            </w:pPr>
            <w:r>
              <w:rPr>
                <w:lang w:val="cs-CZ"/>
              </w:rPr>
              <w:t>s ohledem na návrh Evropské komise</w:t>
            </w:r>
          </w:p>
        </w:tc>
      </w:tr>
      <w:tr w:rsidR="00B95EA6" w:rsidTr="00A26A8C">
        <w:tc>
          <w:tcPr>
            <w:tcW w:w="0" w:type="auto"/>
            <w:shd w:val="clear" w:color="auto" w:fill="auto"/>
          </w:tcPr>
          <w:p w:rsidR="00B95EA6" w:rsidRDefault="00B95EA6">
            <w:pPr>
              <w:rPr>
                <w:lang w:val="en-GB"/>
              </w:rPr>
            </w:pPr>
            <w:r>
              <w:rPr>
                <w:rStyle w:val="SegmentID"/>
                <w:lang w:val="en-GB"/>
              </w:rPr>
              <w:t>7</w:t>
            </w:r>
            <w:r>
              <w:rPr>
                <w:rStyle w:val="TransUnitID"/>
                <w:lang w:val="en-GB"/>
              </w:rPr>
              <w:t>1715fa56-9c47-4c8f-8003-1946d48f58dc</w:t>
            </w:r>
          </w:p>
        </w:tc>
        <w:tc>
          <w:tcPr>
            <w:tcW w:w="0" w:type="auto"/>
            <w:shd w:val="clear" w:color="auto" w:fill="auto"/>
          </w:tcPr>
          <w:p w:rsidR="00B95EA6" w:rsidRDefault="00B95EA6">
            <w:pPr>
              <w:rPr>
                <w:lang w:val="en-GB"/>
              </w:rPr>
            </w:pPr>
            <w:r>
              <w:rPr>
                <w:lang w:val="en-GB"/>
              </w:rPr>
              <w:t>After transmission of the draft legislative act to the national parliaments,</w:t>
            </w:r>
          </w:p>
        </w:tc>
        <w:tc>
          <w:tcPr>
            <w:tcW w:w="0" w:type="auto"/>
            <w:shd w:val="clear" w:color="auto" w:fill="auto"/>
          </w:tcPr>
          <w:p w:rsidR="00B95EA6" w:rsidRDefault="00B95EA6">
            <w:pPr>
              <w:rPr>
                <w:lang w:val="cs-CZ"/>
              </w:rPr>
            </w:pPr>
            <w:r>
              <w:rPr>
                <w:lang w:val="cs-CZ"/>
              </w:rPr>
              <w:t>po postoupení návrhu legislativního aktu vnitrostátním parlamentům,</w:t>
            </w:r>
          </w:p>
        </w:tc>
      </w:tr>
      <w:tr w:rsidR="00B95EA6" w:rsidTr="00A26A8C">
        <w:tc>
          <w:tcPr>
            <w:tcW w:w="0" w:type="auto"/>
            <w:shd w:val="clear" w:color="auto" w:fill="auto"/>
          </w:tcPr>
          <w:p w:rsidR="00B95EA6" w:rsidRDefault="00B95EA6">
            <w:pPr>
              <w:rPr>
                <w:lang w:val="en-GB"/>
              </w:rPr>
            </w:pPr>
            <w:r>
              <w:rPr>
                <w:rStyle w:val="SegmentID"/>
                <w:lang w:val="en-GB"/>
              </w:rPr>
              <w:t>8</w:t>
            </w:r>
            <w:r>
              <w:rPr>
                <w:rStyle w:val="TransUnitID"/>
                <w:lang w:val="en-GB"/>
              </w:rPr>
              <w:t>e14c844a-5bfe-41ab-913d-209ff133cada</w:t>
            </w:r>
          </w:p>
        </w:tc>
        <w:tc>
          <w:tcPr>
            <w:tcW w:w="0" w:type="auto"/>
            <w:shd w:val="clear" w:color="auto" w:fill="auto"/>
          </w:tcPr>
          <w:p w:rsidR="00B95EA6" w:rsidRDefault="00B95EA6">
            <w:pPr>
              <w:rPr>
                <w:lang w:val="en-GB"/>
              </w:rPr>
            </w:pPr>
            <w:r>
              <w:rPr>
                <w:rStyle w:val="Tag"/>
                <w:lang w:val="en-GB"/>
              </w:rPr>
              <w:t>&lt;32&gt;</w:t>
            </w:r>
            <w:r>
              <w:rPr>
                <w:lang w:val="en-GB"/>
              </w:rPr>
              <w:t>Having regard to the opinion of the European Economic and Social Committee</w:t>
            </w:r>
            <w:r>
              <w:rPr>
                <w:rStyle w:val="Tag"/>
                <w:lang w:val="en-GB"/>
              </w:rPr>
              <w:t>&lt;/32&gt;&lt;33&gt;</w:t>
            </w:r>
            <w:r>
              <w:rPr>
                <w:lang w:val="en-GB"/>
              </w:rPr>
              <w:t> (1)</w:t>
            </w:r>
            <w:r>
              <w:rPr>
                <w:rStyle w:val="Tag"/>
                <w:lang w:val="en-GB"/>
              </w:rPr>
              <w:t>&lt;/33&gt;&lt;46&gt;</w:t>
            </w:r>
            <w:r>
              <w:rPr>
                <w:lang w:val="en-GB"/>
              </w:rPr>
              <w:t>,</w:t>
            </w:r>
            <w:r>
              <w:rPr>
                <w:rStyle w:val="Tag"/>
                <w:lang w:val="en-GB"/>
              </w:rPr>
              <w:t>&lt;/46&gt;</w:t>
            </w:r>
          </w:p>
        </w:tc>
        <w:tc>
          <w:tcPr>
            <w:tcW w:w="0" w:type="auto"/>
            <w:shd w:val="clear" w:color="auto" w:fill="auto"/>
          </w:tcPr>
          <w:p w:rsidR="00B95EA6" w:rsidRDefault="00B95EA6">
            <w:pPr>
              <w:rPr>
                <w:lang w:val="cs-CZ"/>
              </w:rPr>
            </w:pPr>
            <w:r>
              <w:rPr>
                <w:lang w:val="cs-CZ"/>
              </w:rPr>
              <w:t>s ohledem na stanovisko Evropského hospodářského a sociálního výboru (1)</w:t>
            </w:r>
          </w:p>
        </w:tc>
      </w:tr>
      <w:tr w:rsidR="00B95EA6" w:rsidTr="00A26A8C">
        <w:tc>
          <w:tcPr>
            <w:tcW w:w="0" w:type="auto"/>
            <w:shd w:val="clear" w:color="auto" w:fill="auto"/>
          </w:tcPr>
          <w:p w:rsidR="00B95EA6" w:rsidRDefault="00B95EA6">
            <w:pPr>
              <w:rPr>
                <w:lang w:val="en-GB"/>
              </w:rPr>
            </w:pPr>
            <w:r>
              <w:rPr>
                <w:rStyle w:val="SegmentID"/>
                <w:lang w:val="en-GB"/>
              </w:rPr>
              <w:t>9</w:t>
            </w:r>
            <w:r>
              <w:rPr>
                <w:rStyle w:val="TransUnitID"/>
                <w:lang w:val="en-GB"/>
              </w:rPr>
              <w:t>9d962e8c-af9f-4636-8455-1b49deeebcc9</w:t>
            </w:r>
          </w:p>
        </w:tc>
        <w:tc>
          <w:tcPr>
            <w:tcW w:w="0" w:type="auto"/>
            <w:shd w:val="clear" w:color="auto" w:fill="auto"/>
          </w:tcPr>
          <w:p w:rsidR="00B95EA6" w:rsidRDefault="00B95EA6">
            <w:pPr>
              <w:rPr>
                <w:lang w:val="en-GB"/>
              </w:rPr>
            </w:pPr>
            <w:r>
              <w:rPr>
                <w:lang w:val="en-GB"/>
              </w:rPr>
              <w:t>http://eur-lex.europa.eu/legal-content/EN/TXT/?qid=1495697061931&amp;uri=CELEX:32017D0899</w:t>
            </w:r>
          </w:p>
        </w:tc>
        <w:tc>
          <w:tcPr>
            <w:tcW w:w="0" w:type="auto"/>
            <w:shd w:val="clear" w:color="auto" w:fill="auto"/>
          </w:tcPr>
          <w:p w:rsidR="00B95EA6" w:rsidRDefault="00B95EA6">
            <w:pPr>
              <w:rPr>
                <w:lang w:val="cs-CZ"/>
              </w:rPr>
            </w:pPr>
            <w:r>
              <w:rPr>
                <w:lang w:val="cs-CZ"/>
              </w:rPr>
              <w:t>http://eur-lex.europa.eu/legal-content/EN/TXT/?qid=1495697061931&amp;uri=CELEX:32017D0899.</w:t>
            </w:r>
          </w:p>
        </w:tc>
      </w:tr>
      <w:tr w:rsidR="00B95EA6" w:rsidTr="00A26A8C">
        <w:tc>
          <w:tcPr>
            <w:tcW w:w="0" w:type="auto"/>
            <w:shd w:val="clear" w:color="auto" w:fill="auto"/>
          </w:tcPr>
          <w:p w:rsidR="00B95EA6" w:rsidRDefault="00B95EA6">
            <w:pPr>
              <w:rPr>
                <w:lang w:val="en-GB"/>
              </w:rPr>
            </w:pPr>
            <w:r>
              <w:rPr>
                <w:rStyle w:val="SegmentID"/>
                <w:lang w:val="en-GB"/>
              </w:rPr>
              <w:t>10</w:t>
            </w:r>
            <w:r>
              <w:rPr>
                <w:rStyle w:val="TransUnitID"/>
                <w:lang w:val="en-GB"/>
              </w:rPr>
              <w:t>6b1d6bce-c886-4874-b625-83d740410619</w:t>
            </w:r>
          </w:p>
        </w:tc>
        <w:tc>
          <w:tcPr>
            <w:tcW w:w="0" w:type="auto"/>
            <w:shd w:val="clear" w:color="auto" w:fill="auto"/>
          </w:tcPr>
          <w:p w:rsidR="00B95EA6" w:rsidRDefault="00B95EA6">
            <w:pPr>
              <w:rPr>
                <w:lang w:val="en-GB"/>
              </w:rPr>
            </w:pPr>
            <w:r>
              <w:rPr>
                <w:lang w:val="en-GB"/>
              </w:rPr>
              <w:t>After consulting the Committee of the Regions,</w:t>
            </w:r>
          </w:p>
        </w:tc>
        <w:tc>
          <w:tcPr>
            <w:tcW w:w="0" w:type="auto"/>
            <w:shd w:val="clear" w:color="auto" w:fill="auto"/>
          </w:tcPr>
          <w:p w:rsidR="00B95EA6" w:rsidRDefault="00B95EA6">
            <w:pPr>
              <w:rPr>
                <w:lang w:val="cs-CZ"/>
              </w:rPr>
            </w:pPr>
            <w:r>
              <w:rPr>
                <w:lang w:val="cs-CZ"/>
              </w:rPr>
              <w:t>po konzultaci Výboru regionů</w:t>
            </w:r>
          </w:p>
        </w:tc>
      </w:tr>
      <w:tr w:rsidR="00B95EA6" w:rsidTr="00A26A8C">
        <w:tc>
          <w:tcPr>
            <w:tcW w:w="0" w:type="auto"/>
            <w:shd w:val="clear" w:color="auto" w:fill="auto"/>
          </w:tcPr>
          <w:p w:rsidR="00B95EA6" w:rsidRDefault="00B95EA6">
            <w:pPr>
              <w:rPr>
                <w:lang w:val="en-GB"/>
              </w:rPr>
            </w:pPr>
            <w:r>
              <w:rPr>
                <w:rStyle w:val="SegmentID"/>
                <w:lang w:val="en-GB"/>
              </w:rPr>
              <w:t>11</w:t>
            </w:r>
            <w:r>
              <w:rPr>
                <w:rStyle w:val="TransUnitID"/>
                <w:lang w:val="en-GB"/>
              </w:rPr>
              <w:t>4f110972-be42-4de7-80bf-d68928073133</w:t>
            </w:r>
          </w:p>
        </w:tc>
        <w:tc>
          <w:tcPr>
            <w:tcW w:w="0" w:type="auto"/>
            <w:shd w:val="clear" w:color="auto" w:fill="auto"/>
          </w:tcPr>
          <w:p w:rsidR="00B95EA6" w:rsidRDefault="00B95EA6">
            <w:pPr>
              <w:rPr>
                <w:lang w:val="en-GB"/>
              </w:rPr>
            </w:pPr>
            <w:r>
              <w:rPr>
                <w:rStyle w:val="Tag"/>
                <w:lang w:val="en-GB"/>
              </w:rPr>
              <w:t>&lt;52&gt;</w:t>
            </w:r>
            <w:r>
              <w:rPr>
                <w:lang w:val="en-GB"/>
              </w:rPr>
              <w:t>Acting in accordance with the ordinary legislative procedure</w:t>
            </w:r>
            <w:r>
              <w:rPr>
                <w:rStyle w:val="Tag"/>
                <w:lang w:val="en-GB"/>
              </w:rPr>
              <w:t>&lt;/52&gt;&lt;53&gt;</w:t>
            </w:r>
            <w:r>
              <w:rPr>
                <w:lang w:val="en-GB"/>
              </w:rPr>
              <w:t> (2)</w:t>
            </w:r>
            <w:r>
              <w:rPr>
                <w:rStyle w:val="Tag"/>
                <w:lang w:val="en-GB"/>
              </w:rPr>
              <w:t>&lt;/53&gt;&lt;66&gt;</w:t>
            </w:r>
            <w:r>
              <w:rPr>
                <w:lang w:val="en-GB"/>
              </w:rPr>
              <w:t>,</w:t>
            </w:r>
            <w:r>
              <w:rPr>
                <w:rStyle w:val="Tag"/>
                <w:lang w:val="en-GB"/>
              </w:rPr>
              <w:t>&lt;/66&gt;</w:t>
            </w:r>
          </w:p>
        </w:tc>
        <w:tc>
          <w:tcPr>
            <w:tcW w:w="0" w:type="auto"/>
            <w:shd w:val="clear" w:color="auto" w:fill="auto"/>
          </w:tcPr>
          <w:p w:rsidR="00B95EA6" w:rsidRDefault="00B95EA6">
            <w:pPr>
              <w:rPr>
                <w:lang w:val="cs-CZ"/>
              </w:rPr>
            </w:pPr>
            <w:r>
              <w:rPr>
                <w:lang w:val="cs-CZ"/>
              </w:rPr>
              <w:t xml:space="preserve">v souladu s řádným legislativním </w:t>
            </w:r>
            <w:proofErr w:type="gramStart"/>
            <w:r>
              <w:rPr>
                <w:lang w:val="cs-CZ"/>
              </w:rPr>
              <w:t>postupem(2)</w:t>
            </w:r>
            <w:proofErr w:type="gramEnd"/>
          </w:p>
        </w:tc>
      </w:tr>
      <w:tr w:rsidR="00B95EA6" w:rsidTr="00A26A8C">
        <w:tc>
          <w:tcPr>
            <w:tcW w:w="0" w:type="auto"/>
            <w:shd w:val="clear" w:color="auto" w:fill="auto"/>
          </w:tcPr>
          <w:p w:rsidR="00B95EA6" w:rsidRDefault="00B95EA6">
            <w:pPr>
              <w:rPr>
                <w:lang w:val="en-GB"/>
              </w:rPr>
            </w:pPr>
            <w:r>
              <w:rPr>
                <w:rStyle w:val="SegmentID"/>
                <w:lang w:val="en-GB"/>
              </w:rPr>
              <w:t>12</w:t>
            </w:r>
            <w:r>
              <w:rPr>
                <w:rStyle w:val="TransUnitID"/>
                <w:lang w:val="en-GB"/>
              </w:rPr>
              <w:t>06ee9b4a-7f85-41e0-b08e-b26f755f6988</w:t>
            </w:r>
          </w:p>
        </w:tc>
        <w:tc>
          <w:tcPr>
            <w:tcW w:w="0" w:type="auto"/>
            <w:shd w:val="clear" w:color="auto" w:fill="auto"/>
          </w:tcPr>
          <w:p w:rsidR="00B95EA6" w:rsidRDefault="00B95EA6">
            <w:pPr>
              <w:rPr>
                <w:lang w:val="en-GB"/>
              </w:rPr>
            </w:pPr>
            <w:r>
              <w:rPr>
                <w:lang w:val="en-GB"/>
              </w:rPr>
              <w:t>http://eur-lex.europa.eu/legal-content/EN/TXT/?qid=1495697061931&amp;uri=CELEX:32017D0899</w:t>
            </w:r>
          </w:p>
        </w:tc>
        <w:tc>
          <w:tcPr>
            <w:tcW w:w="0" w:type="auto"/>
            <w:shd w:val="clear" w:color="auto" w:fill="auto"/>
          </w:tcPr>
          <w:p w:rsidR="00B95EA6" w:rsidRDefault="00B95EA6">
            <w:pPr>
              <w:rPr>
                <w:lang w:val="cs-CZ"/>
              </w:rPr>
            </w:pPr>
            <w:r>
              <w:rPr>
                <w:lang w:val="cs-CZ"/>
              </w:rPr>
              <w:t>http://eur-lex.europa.eu/legal-content/EN/TXT/?qid=1495697061931&amp;uri=CELEX:32017D0899.</w:t>
            </w:r>
          </w:p>
        </w:tc>
      </w:tr>
      <w:tr w:rsidR="00B95EA6" w:rsidTr="00A26A8C">
        <w:tc>
          <w:tcPr>
            <w:tcW w:w="0" w:type="auto"/>
            <w:shd w:val="clear" w:color="auto" w:fill="auto"/>
          </w:tcPr>
          <w:p w:rsidR="00B95EA6" w:rsidRDefault="00B95EA6">
            <w:pPr>
              <w:rPr>
                <w:lang w:val="en-GB"/>
              </w:rPr>
            </w:pPr>
            <w:r>
              <w:rPr>
                <w:rStyle w:val="SegmentID"/>
                <w:lang w:val="en-GB"/>
              </w:rPr>
              <w:t>13</w:t>
            </w:r>
            <w:r>
              <w:rPr>
                <w:rStyle w:val="TransUnitID"/>
                <w:lang w:val="en-GB"/>
              </w:rPr>
              <w:t>a4b20492-406d-4faa-ba4e-dcb98c0d77ca</w:t>
            </w:r>
          </w:p>
        </w:tc>
        <w:tc>
          <w:tcPr>
            <w:tcW w:w="0" w:type="auto"/>
            <w:shd w:val="clear" w:color="auto" w:fill="auto"/>
          </w:tcPr>
          <w:p w:rsidR="00B95EA6" w:rsidRDefault="00B95EA6">
            <w:pPr>
              <w:rPr>
                <w:lang w:val="en-GB"/>
              </w:rPr>
            </w:pPr>
            <w:r>
              <w:rPr>
                <w:lang w:val="en-GB"/>
              </w:rPr>
              <w:t>Whereas:</w:t>
            </w:r>
          </w:p>
        </w:tc>
        <w:tc>
          <w:tcPr>
            <w:tcW w:w="0" w:type="auto"/>
            <w:shd w:val="clear" w:color="auto" w:fill="auto"/>
          </w:tcPr>
          <w:p w:rsidR="00B95EA6" w:rsidRDefault="00B95EA6">
            <w:pPr>
              <w:rPr>
                <w:lang w:val="cs-CZ"/>
              </w:rPr>
            </w:pPr>
            <w:r>
              <w:rPr>
                <w:lang w:val="cs-CZ"/>
              </w:rPr>
              <w:t>VZHLEDEM K TOMU, ŽE.</w:t>
            </w:r>
          </w:p>
        </w:tc>
      </w:tr>
      <w:tr w:rsidR="00B95EA6" w:rsidTr="00A26A8C">
        <w:tc>
          <w:tcPr>
            <w:tcW w:w="0" w:type="auto"/>
            <w:shd w:val="clear" w:color="auto" w:fill="auto"/>
          </w:tcPr>
          <w:p w:rsidR="00B95EA6" w:rsidRDefault="00B95EA6">
            <w:pPr>
              <w:rPr>
                <w:lang w:val="en-GB"/>
              </w:rPr>
            </w:pPr>
            <w:r>
              <w:rPr>
                <w:rStyle w:val="SegmentID"/>
                <w:lang w:val="en-GB"/>
              </w:rPr>
              <w:t>14</w:t>
            </w:r>
            <w:r>
              <w:rPr>
                <w:rStyle w:val="TransUnitID"/>
                <w:lang w:val="en-GB"/>
              </w:rPr>
              <w:t>e8123f59-089c-44b9-8a58-4242f2db7422</w:t>
            </w:r>
          </w:p>
        </w:tc>
        <w:tc>
          <w:tcPr>
            <w:tcW w:w="0" w:type="auto"/>
            <w:shd w:val="clear" w:color="auto" w:fill="auto"/>
          </w:tcPr>
          <w:p w:rsidR="00B95EA6" w:rsidRDefault="00B95EA6">
            <w:pPr>
              <w:rPr>
                <w:lang w:val="en-GB"/>
              </w:rPr>
            </w:pPr>
            <w:r>
              <w:rPr>
                <w:lang w:val="en-GB"/>
              </w:rPr>
              <w:t>(1)</w:t>
            </w:r>
          </w:p>
        </w:tc>
        <w:tc>
          <w:tcPr>
            <w:tcW w:w="0" w:type="auto"/>
            <w:shd w:val="clear" w:color="auto" w:fill="auto"/>
          </w:tcPr>
          <w:p w:rsidR="00B95EA6" w:rsidRDefault="00B95EA6">
            <w:pPr>
              <w:rPr>
                <w:lang w:val="cs-CZ"/>
              </w:rPr>
            </w:pPr>
            <w:r>
              <w:rPr>
                <w:lang w:val="cs-CZ"/>
              </w:rPr>
              <w:t>(1)</w:t>
            </w:r>
          </w:p>
        </w:tc>
      </w:tr>
      <w:tr w:rsidR="00B95EA6" w:rsidTr="00A26A8C">
        <w:tc>
          <w:tcPr>
            <w:tcW w:w="0" w:type="auto"/>
            <w:shd w:val="clear" w:color="auto" w:fill="auto"/>
          </w:tcPr>
          <w:p w:rsidR="00B95EA6" w:rsidRDefault="00B95EA6">
            <w:pPr>
              <w:rPr>
                <w:lang w:val="en-GB"/>
              </w:rPr>
            </w:pPr>
            <w:r>
              <w:rPr>
                <w:rStyle w:val="SegmentID"/>
                <w:lang w:val="en-GB"/>
              </w:rPr>
              <w:t>15</w:t>
            </w:r>
            <w:r>
              <w:rPr>
                <w:rStyle w:val="TransUnitID"/>
                <w:lang w:val="en-GB"/>
              </w:rPr>
              <w:t>360744c9-5e43-4ec0-bda9-191b8c08006f</w:t>
            </w:r>
          </w:p>
        </w:tc>
        <w:tc>
          <w:tcPr>
            <w:tcW w:w="0" w:type="auto"/>
            <w:shd w:val="clear" w:color="auto" w:fill="auto"/>
          </w:tcPr>
          <w:p w:rsidR="00B95EA6" w:rsidRDefault="00B95EA6">
            <w:pPr>
              <w:rPr>
                <w:lang w:val="en-GB"/>
              </w:rPr>
            </w:pPr>
            <w:r>
              <w:rPr>
                <w:rStyle w:val="Tag"/>
                <w:lang w:val="en-GB"/>
              </w:rPr>
              <w:t>&lt;75&gt;</w:t>
            </w:r>
            <w:r>
              <w:rPr>
                <w:lang w:val="en-GB"/>
              </w:rPr>
              <w:t>In the multiannual radio spectrum policy programme (‘RSPP’), established by Decision No 243/2012/EU</w:t>
            </w:r>
            <w:r>
              <w:rPr>
                <w:rStyle w:val="Tag"/>
                <w:lang w:val="en-GB"/>
              </w:rPr>
              <w:t>&lt;/75&gt;&lt;76&gt;</w:t>
            </w:r>
            <w:r>
              <w:rPr>
                <w:lang w:val="en-GB"/>
              </w:rPr>
              <w:t> (3)</w:t>
            </w:r>
            <w:r>
              <w:rPr>
                <w:rStyle w:val="Tag"/>
                <w:lang w:val="en-GB"/>
              </w:rPr>
              <w:t>&lt;/76&gt;&lt;89&gt;</w:t>
            </w:r>
            <w:r>
              <w:rPr>
                <w:lang w:val="en-GB"/>
              </w:rPr>
              <w:t>, the European Parliament and the Council set the objectives of identifying at least 1 200 MHz of spectrum suitable for wireless broadband electronic communications services in the Union by 2015, of supporting the further development of innovative broadcasting services by ensuring sufficient spectrum for the satellite and terrestrial provision of such services if the need is clearly substantiated, and of ensuring sufficient spectrum for programme-making and special events (‘PMSE’).</w:t>
            </w:r>
            <w:r>
              <w:rPr>
                <w:rStyle w:val="Tag"/>
                <w:lang w:val="en-GB"/>
              </w:rPr>
              <w:t>&lt;/89&gt;</w:t>
            </w:r>
          </w:p>
        </w:tc>
        <w:tc>
          <w:tcPr>
            <w:tcW w:w="0" w:type="auto"/>
            <w:shd w:val="clear" w:color="auto" w:fill="auto"/>
          </w:tcPr>
          <w:p w:rsidR="00B95EA6" w:rsidRDefault="00B95EA6">
            <w:pPr>
              <w:rPr>
                <w:lang w:val="cs-CZ"/>
              </w:rPr>
            </w:pPr>
            <w:r>
              <w:rPr>
                <w:lang w:val="cs-CZ"/>
              </w:rPr>
              <w:t xml:space="preserve">Ve víceletém programu politiky rádiového spektra (dále jen „dohoda“) byla zřízena rozhodnutím č. 243/2012/EU (3), Evropský parlament a Rada jako cíl určit alespoň 1 200 MHz rádiového spektra pro bezdrátové širokopásmové služby elektronických komunikací v Unii do roku 2015, další vývoj inovativních podpůrných služeb rozhlasového a televizního vysílání zajistit dostatečné spektrum pro pozemní a satelitní poskytování těchto služeb, pokud je zjevně odůvodněné, a zajistit dostatečné spektrum na </w:t>
            </w:r>
            <w:proofErr w:type="spellStart"/>
            <w:r>
              <w:rPr>
                <w:lang w:val="cs-CZ"/>
              </w:rPr>
              <w:t>programme-making</w:t>
            </w:r>
            <w:proofErr w:type="spellEnd"/>
            <w:r>
              <w:rPr>
                <w:lang w:val="cs-CZ"/>
              </w:rPr>
              <w:t xml:space="preserve"> a pořádání hromadných společenských akcí (PMSE“).</w:t>
            </w:r>
          </w:p>
        </w:tc>
      </w:tr>
      <w:tr w:rsidR="00B95EA6" w:rsidTr="00A26A8C">
        <w:tc>
          <w:tcPr>
            <w:tcW w:w="0" w:type="auto"/>
            <w:shd w:val="clear" w:color="auto" w:fill="auto"/>
          </w:tcPr>
          <w:p w:rsidR="00B95EA6" w:rsidRDefault="00B95EA6">
            <w:pPr>
              <w:rPr>
                <w:lang w:val="en-GB"/>
              </w:rPr>
            </w:pPr>
            <w:r>
              <w:rPr>
                <w:rStyle w:val="SegmentID"/>
                <w:lang w:val="en-GB"/>
              </w:rPr>
              <w:t>16</w:t>
            </w:r>
            <w:r>
              <w:rPr>
                <w:rStyle w:val="TransUnitID"/>
                <w:lang w:val="en-GB"/>
              </w:rPr>
              <w:t>77b635d4-bf96-4836-9ea2-b9a871ec8615</w:t>
            </w:r>
          </w:p>
        </w:tc>
        <w:tc>
          <w:tcPr>
            <w:tcW w:w="0" w:type="auto"/>
            <w:shd w:val="clear" w:color="auto" w:fill="auto"/>
          </w:tcPr>
          <w:p w:rsidR="00B95EA6" w:rsidRDefault="00B95EA6">
            <w:pPr>
              <w:rPr>
                <w:lang w:val="en-GB"/>
              </w:rPr>
            </w:pPr>
            <w:r>
              <w:rPr>
                <w:lang w:val="en-GB"/>
              </w:rPr>
              <w:t>http://eur-lex.europa.eu/legal-content/EN/TXT/?qid=1495697061931&amp;uri=CELEX:32017D0899</w:t>
            </w:r>
          </w:p>
        </w:tc>
        <w:tc>
          <w:tcPr>
            <w:tcW w:w="0" w:type="auto"/>
            <w:shd w:val="clear" w:color="auto" w:fill="auto"/>
          </w:tcPr>
          <w:p w:rsidR="00B95EA6" w:rsidRDefault="00B95EA6">
            <w:pPr>
              <w:rPr>
                <w:lang w:val="cs-CZ"/>
              </w:rPr>
            </w:pPr>
            <w:r>
              <w:rPr>
                <w:lang w:val="cs-CZ"/>
              </w:rPr>
              <w:t>http://eur-lex.europa.eu/legal-content/EN/TXT/?qid=1495697061931&amp;uri=CELEX:32017D0899.</w:t>
            </w:r>
          </w:p>
        </w:tc>
      </w:tr>
      <w:tr w:rsidR="00B95EA6" w:rsidTr="00A26A8C">
        <w:tc>
          <w:tcPr>
            <w:tcW w:w="0" w:type="auto"/>
            <w:shd w:val="clear" w:color="auto" w:fill="auto"/>
          </w:tcPr>
          <w:p w:rsidR="00B95EA6" w:rsidRDefault="00B95EA6">
            <w:pPr>
              <w:rPr>
                <w:lang w:val="en-GB"/>
              </w:rPr>
            </w:pPr>
            <w:r>
              <w:rPr>
                <w:rStyle w:val="SegmentID"/>
                <w:lang w:val="en-GB"/>
              </w:rPr>
              <w:t>17</w:t>
            </w:r>
            <w:r>
              <w:rPr>
                <w:rStyle w:val="TransUnitID"/>
                <w:lang w:val="en-GB"/>
              </w:rPr>
              <w:t>f98aff8e-dd54-40d1-bf72-7805c0a32399</w:t>
            </w:r>
          </w:p>
        </w:tc>
        <w:tc>
          <w:tcPr>
            <w:tcW w:w="0" w:type="auto"/>
            <w:shd w:val="clear" w:color="auto" w:fill="auto"/>
          </w:tcPr>
          <w:p w:rsidR="00B95EA6" w:rsidRDefault="00B95EA6">
            <w:pPr>
              <w:rPr>
                <w:lang w:val="en-GB"/>
              </w:rPr>
            </w:pPr>
            <w:r>
              <w:rPr>
                <w:lang w:val="en-GB"/>
              </w:rPr>
              <w:t>(2)</w:t>
            </w:r>
          </w:p>
        </w:tc>
        <w:tc>
          <w:tcPr>
            <w:tcW w:w="0" w:type="auto"/>
            <w:shd w:val="clear" w:color="auto" w:fill="auto"/>
          </w:tcPr>
          <w:p w:rsidR="00B95EA6" w:rsidRDefault="00B95EA6">
            <w:pPr>
              <w:rPr>
                <w:lang w:val="cs-CZ"/>
              </w:rPr>
            </w:pPr>
            <w:r>
              <w:rPr>
                <w:lang w:val="cs-CZ"/>
              </w:rPr>
              <w:t>Odst. 2 písm. a)</w:t>
            </w:r>
          </w:p>
        </w:tc>
      </w:tr>
      <w:tr w:rsidR="00B95EA6" w:rsidTr="00A26A8C">
        <w:tc>
          <w:tcPr>
            <w:tcW w:w="0" w:type="auto"/>
            <w:shd w:val="clear" w:color="auto" w:fill="auto"/>
          </w:tcPr>
          <w:p w:rsidR="00B95EA6" w:rsidRDefault="00B95EA6">
            <w:pPr>
              <w:rPr>
                <w:lang w:val="en-GB"/>
              </w:rPr>
            </w:pPr>
            <w:r>
              <w:rPr>
                <w:rStyle w:val="SegmentID"/>
                <w:lang w:val="en-GB"/>
              </w:rPr>
              <w:t>18</w:t>
            </w:r>
            <w:r>
              <w:rPr>
                <w:rStyle w:val="TransUnitID"/>
                <w:lang w:val="en-GB"/>
              </w:rPr>
              <w:t>ca51e542-8f1c-45cb-9458-b10d86de68a7</w:t>
            </w:r>
          </w:p>
        </w:tc>
        <w:tc>
          <w:tcPr>
            <w:tcW w:w="0" w:type="auto"/>
            <w:shd w:val="clear" w:color="auto" w:fill="auto"/>
          </w:tcPr>
          <w:p w:rsidR="00B95EA6" w:rsidRDefault="00B95EA6">
            <w:pPr>
              <w:rPr>
                <w:lang w:val="en-GB"/>
              </w:rPr>
            </w:pPr>
            <w:r>
              <w:rPr>
                <w:lang w:val="en-GB"/>
              </w:rPr>
              <w:t xml:space="preserve">In its Communication of 6 May 2015 entitled ‘A Digital Single Market Strategy for Europe’, the Commission highlighted the importance of the 694-790 MHz (‘700 MHz’) frequency band for ensuring the provision of broadband services in rural areas in order to ensure access and </w:t>
            </w:r>
            <w:r>
              <w:rPr>
                <w:lang w:val="en-GB"/>
              </w:rPr>
              <w:lastRenderedPageBreak/>
              <w:t>connectivity, and stressed the need for a coordinated release of that frequency band while accommodating the specific needs of broadcasting services distribution.</w:t>
            </w:r>
          </w:p>
        </w:tc>
        <w:tc>
          <w:tcPr>
            <w:tcW w:w="0" w:type="auto"/>
            <w:shd w:val="clear" w:color="auto" w:fill="auto"/>
          </w:tcPr>
          <w:p w:rsidR="00B95EA6" w:rsidRDefault="00B95EA6">
            <w:pPr>
              <w:rPr>
                <w:lang w:val="cs-CZ"/>
              </w:rPr>
            </w:pPr>
            <w:r>
              <w:rPr>
                <w:lang w:val="cs-CZ"/>
              </w:rPr>
              <w:lastRenderedPageBreak/>
              <w:t xml:space="preserve">Ve svém sdělení ze dne 6. května 2015 s názvem „Strategie pro jednotný digitální trh v Evropě“ Komise zdůraznila význam kmitočtového pásma 694–790 MHz (dále jen „kmitočtové pásmo 700 MHz“) pro zajištění služeb širokopásmového přístupu ve venkovských oblastech za účelem </w:t>
            </w:r>
            <w:r>
              <w:rPr>
                <w:lang w:val="cs-CZ"/>
              </w:rPr>
              <w:lastRenderedPageBreak/>
              <w:t>zajištění přístupu a propojení, a zdůrazňuje, že je třeba uvedené pásmo uvolňovat koordinovaně a současně zohlednit zvláštní potřeby vysílacích služeb a distribuce.</w:t>
            </w:r>
          </w:p>
        </w:tc>
      </w:tr>
      <w:tr w:rsidR="00B95EA6" w:rsidTr="00A26A8C">
        <w:tc>
          <w:tcPr>
            <w:tcW w:w="0" w:type="auto"/>
            <w:shd w:val="clear" w:color="auto" w:fill="auto"/>
          </w:tcPr>
          <w:p w:rsidR="00B95EA6" w:rsidRDefault="00B95EA6">
            <w:pPr>
              <w:rPr>
                <w:lang w:val="en-GB"/>
              </w:rPr>
            </w:pPr>
            <w:r>
              <w:rPr>
                <w:rStyle w:val="SegmentID"/>
                <w:lang w:val="en-GB"/>
              </w:rPr>
              <w:lastRenderedPageBreak/>
              <w:t>19</w:t>
            </w:r>
            <w:r>
              <w:rPr>
                <w:rStyle w:val="TransUnitID"/>
                <w:lang w:val="en-GB"/>
              </w:rPr>
              <w:t>ca51e542-8f1c-45cb-9458-b10d86de68a7</w:t>
            </w:r>
          </w:p>
        </w:tc>
        <w:tc>
          <w:tcPr>
            <w:tcW w:w="0" w:type="auto"/>
            <w:shd w:val="clear" w:color="auto" w:fill="auto"/>
          </w:tcPr>
          <w:p w:rsidR="00B95EA6" w:rsidRDefault="00B95EA6">
            <w:pPr>
              <w:rPr>
                <w:lang w:val="en-GB"/>
              </w:rPr>
            </w:pPr>
            <w:r>
              <w:rPr>
                <w:lang w:val="en-GB"/>
              </w:rPr>
              <w:t>Reducing the digital divide, in coverage as well as in knowledge, is an important aspect that has to be a priority, without creating new divides when users take up new technologies.</w:t>
            </w:r>
          </w:p>
        </w:tc>
        <w:tc>
          <w:tcPr>
            <w:tcW w:w="0" w:type="auto"/>
            <w:shd w:val="clear" w:color="auto" w:fill="auto"/>
          </w:tcPr>
          <w:p w:rsidR="00B95EA6" w:rsidRDefault="00B95EA6">
            <w:pPr>
              <w:rPr>
                <w:lang w:val="cs-CZ"/>
              </w:rPr>
            </w:pPr>
            <w:r>
              <w:rPr>
                <w:lang w:val="cs-CZ"/>
              </w:rPr>
              <w:t xml:space="preserve">Snížení </w:t>
            </w:r>
            <w:proofErr w:type="spellStart"/>
            <w:r>
              <w:rPr>
                <w:lang w:val="cs-CZ"/>
              </w:rPr>
              <w:t>digital</w:t>
            </w:r>
            <w:proofErr w:type="spellEnd"/>
            <w:r>
              <w:rPr>
                <w:lang w:val="cs-CZ"/>
              </w:rPr>
              <w:t xml:space="preserve"> </w:t>
            </w:r>
            <w:proofErr w:type="spellStart"/>
            <w:r>
              <w:rPr>
                <w:lang w:val="cs-CZ"/>
              </w:rPr>
              <w:t>divide</w:t>
            </w:r>
            <w:proofErr w:type="spellEnd"/>
            <w:r>
              <w:rPr>
                <w:lang w:val="cs-CZ"/>
              </w:rPr>
              <w:t xml:space="preserve">, jakož i na pokrytí, je důležitým prvkem, který má být přednostně </w:t>
            </w:r>
            <w:proofErr w:type="spellStart"/>
            <w:r>
              <w:rPr>
                <w:lang w:val="cs-CZ"/>
              </w:rPr>
              <w:t>divides</w:t>
            </w:r>
            <w:proofErr w:type="spellEnd"/>
            <w:r>
              <w:rPr>
                <w:lang w:val="cs-CZ"/>
              </w:rPr>
              <w:t xml:space="preserve"> při vytváření nových, včetně přístupu nových technologií.</w:t>
            </w:r>
          </w:p>
        </w:tc>
      </w:tr>
      <w:tr w:rsidR="00B95EA6" w:rsidTr="00A26A8C">
        <w:tc>
          <w:tcPr>
            <w:tcW w:w="0" w:type="auto"/>
            <w:shd w:val="clear" w:color="auto" w:fill="auto"/>
          </w:tcPr>
          <w:p w:rsidR="00B95EA6" w:rsidRDefault="00B95EA6">
            <w:pPr>
              <w:rPr>
                <w:lang w:val="en-GB"/>
              </w:rPr>
            </w:pPr>
            <w:r>
              <w:rPr>
                <w:rStyle w:val="SegmentID"/>
                <w:lang w:val="en-GB"/>
              </w:rPr>
              <w:t>20</w:t>
            </w:r>
            <w:r>
              <w:rPr>
                <w:rStyle w:val="TransUnitID"/>
                <w:lang w:val="en-GB"/>
              </w:rPr>
              <w:t>8b12a90e-3240-4f27-b6b3-97d86dab380a</w:t>
            </w:r>
          </w:p>
        </w:tc>
        <w:tc>
          <w:tcPr>
            <w:tcW w:w="0" w:type="auto"/>
            <w:shd w:val="clear" w:color="auto" w:fill="auto"/>
          </w:tcPr>
          <w:p w:rsidR="00B95EA6" w:rsidRDefault="00B95EA6">
            <w:pPr>
              <w:rPr>
                <w:lang w:val="en-GB"/>
              </w:rPr>
            </w:pPr>
            <w:r>
              <w:rPr>
                <w:lang w:val="en-GB"/>
              </w:rPr>
              <w:t>(3)</w:t>
            </w:r>
          </w:p>
        </w:tc>
        <w:tc>
          <w:tcPr>
            <w:tcW w:w="0" w:type="auto"/>
            <w:shd w:val="clear" w:color="auto" w:fill="auto"/>
          </w:tcPr>
          <w:p w:rsidR="00B95EA6" w:rsidRDefault="00B95EA6">
            <w:pPr>
              <w:rPr>
                <w:lang w:val="cs-CZ"/>
              </w:rPr>
            </w:pPr>
            <w:r>
              <w:rPr>
                <w:lang w:val="cs-CZ"/>
              </w:rPr>
              <w:t>(3)</w:t>
            </w:r>
          </w:p>
        </w:tc>
      </w:tr>
      <w:tr w:rsidR="00B95EA6" w:rsidTr="00A26A8C">
        <w:tc>
          <w:tcPr>
            <w:tcW w:w="0" w:type="auto"/>
            <w:shd w:val="clear" w:color="auto" w:fill="auto"/>
          </w:tcPr>
          <w:p w:rsidR="00B95EA6" w:rsidRDefault="00B95EA6">
            <w:pPr>
              <w:rPr>
                <w:lang w:val="en-GB"/>
              </w:rPr>
            </w:pPr>
            <w:r>
              <w:rPr>
                <w:rStyle w:val="SegmentID"/>
                <w:lang w:val="en-GB"/>
              </w:rPr>
              <w:t>21</w:t>
            </w:r>
            <w:r>
              <w:rPr>
                <w:rStyle w:val="TransUnitID"/>
                <w:lang w:val="en-GB"/>
              </w:rPr>
              <w:t>650487c4-0049-4e6b-bae8-83d96a3ea629</w:t>
            </w:r>
          </w:p>
        </w:tc>
        <w:tc>
          <w:tcPr>
            <w:tcW w:w="0" w:type="auto"/>
            <w:shd w:val="clear" w:color="auto" w:fill="auto"/>
          </w:tcPr>
          <w:p w:rsidR="00B95EA6" w:rsidRDefault="00B95EA6">
            <w:pPr>
              <w:rPr>
                <w:lang w:val="en-GB"/>
              </w:rPr>
            </w:pPr>
            <w:r>
              <w:rPr>
                <w:lang w:val="en-GB"/>
              </w:rPr>
              <w:t>Effective management of spectrum is a condition for the industrial shift to 5G, which would put the Union at the centre of innovation and create a favourable environment for electronic communications networks and services to develop, thus maximising the growth potential of the digital economy.</w:t>
            </w:r>
          </w:p>
        </w:tc>
        <w:tc>
          <w:tcPr>
            <w:tcW w:w="0" w:type="auto"/>
            <w:shd w:val="clear" w:color="auto" w:fill="auto"/>
          </w:tcPr>
          <w:p w:rsidR="00B95EA6" w:rsidRDefault="00B95EA6">
            <w:pPr>
              <w:rPr>
                <w:lang w:val="cs-CZ"/>
              </w:rPr>
            </w:pPr>
            <w:r>
              <w:rPr>
                <w:lang w:val="cs-CZ"/>
              </w:rPr>
              <w:t>účinné správě spektra je podmínkou pro průmyslové 5G, které by k posunu v Unii, v úpravě pro inovace a vytvořit prostředí příznivé pro sítě a služby elektronických komunikací, čímž k maximalizaci růstový potenciál digitální ekonomiky.</w:t>
            </w:r>
          </w:p>
        </w:tc>
      </w:tr>
      <w:tr w:rsidR="00B95EA6" w:rsidTr="00A26A8C">
        <w:tc>
          <w:tcPr>
            <w:tcW w:w="0" w:type="auto"/>
            <w:shd w:val="clear" w:color="auto" w:fill="auto"/>
          </w:tcPr>
          <w:p w:rsidR="00B95EA6" w:rsidRDefault="00B95EA6">
            <w:pPr>
              <w:rPr>
                <w:lang w:val="en-GB"/>
              </w:rPr>
            </w:pPr>
            <w:r>
              <w:rPr>
                <w:rStyle w:val="SegmentID"/>
                <w:lang w:val="en-GB"/>
              </w:rPr>
              <w:t>22</w:t>
            </w:r>
            <w:r>
              <w:rPr>
                <w:rStyle w:val="TransUnitID"/>
                <w:lang w:val="en-GB"/>
              </w:rPr>
              <w:t>650487c4-0049-4e6b-bae8-83d96a3ea629</w:t>
            </w:r>
          </w:p>
        </w:tc>
        <w:tc>
          <w:tcPr>
            <w:tcW w:w="0" w:type="auto"/>
            <w:shd w:val="clear" w:color="auto" w:fill="auto"/>
          </w:tcPr>
          <w:p w:rsidR="00B95EA6" w:rsidRDefault="00B95EA6">
            <w:pPr>
              <w:rPr>
                <w:lang w:val="en-GB"/>
              </w:rPr>
            </w:pPr>
            <w:r>
              <w:rPr>
                <w:lang w:val="en-GB"/>
              </w:rPr>
              <w:t>The Union economy will increasingly have digital society at its core, which requires ubiquitous network coverage to develop services relating to the Internet of Things, e-commerce and European cloud services, and to reap the full benefits of Industry 4.0 across the Union.</w:t>
            </w:r>
          </w:p>
        </w:tc>
        <w:tc>
          <w:tcPr>
            <w:tcW w:w="0" w:type="auto"/>
            <w:shd w:val="clear" w:color="auto" w:fill="auto"/>
          </w:tcPr>
          <w:p w:rsidR="00B95EA6" w:rsidRDefault="00B95EA6">
            <w:pPr>
              <w:rPr>
                <w:lang w:val="cs-CZ"/>
              </w:rPr>
            </w:pPr>
            <w:r>
              <w:rPr>
                <w:lang w:val="cs-CZ"/>
              </w:rPr>
              <w:t xml:space="preserve">Evropská unie bude mít v digitální společnosti v rostoucí míře své hlavní sítě, která vyžaduje, aby pokrytí službami </w:t>
            </w:r>
            <w:proofErr w:type="spellStart"/>
            <w:r>
              <w:rPr>
                <w:lang w:val="cs-CZ"/>
              </w:rPr>
              <w:t>ubiquitous</w:t>
            </w:r>
            <w:proofErr w:type="spellEnd"/>
            <w:r>
              <w:rPr>
                <w:lang w:val="cs-CZ"/>
              </w:rPr>
              <w:t xml:space="preserve"> rozvíjet na internetu, elektronického obchodu a </w:t>
            </w:r>
            <w:proofErr w:type="spellStart"/>
            <w:r>
              <w:rPr>
                <w:lang w:val="cs-CZ"/>
              </w:rPr>
              <w:t>cloudových</w:t>
            </w:r>
            <w:proofErr w:type="spellEnd"/>
            <w:r>
              <w:rPr>
                <w:lang w:val="cs-CZ"/>
              </w:rPr>
              <w:t xml:space="preserve"> služeb, a k cílům úplných přínosů 4.0 odvětví v celé Unii.</w:t>
            </w:r>
          </w:p>
        </w:tc>
      </w:tr>
      <w:tr w:rsidR="00B95EA6" w:rsidTr="00A26A8C">
        <w:tc>
          <w:tcPr>
            <w:tcW w:w="0" w:type="auto"/>
            <w:shd w:val="clear" w:color="auto" w:fill="auto"/>
          </w:tcPr>
          <w:p w:rsidR="00B95EA6" w:rsidRDefault="00B95EA6">
            <w:pPr>
              <w:rPr>
                <w:lang w:val="en-GB"/>
              </w:rPr>
            </w:pPr>
            <w:r>
              <w:rPr>
                <w:rStyle w:val="SegmentID"/>
                <w:lang w:val="en-GB"/>
              </w:rPr>
              <w:t>23</w:t>
            </w:r>
            <w:r>
              <w:rPr>
                <w:rStyle w:val="TransUnitID"/>
                <w:lang w:val="en-GB"/>
              </w:rPr>
              <w:t>9fba4db1-66c6-49e9-b6bb-8cff02dc6fe1</w:t>
            </w:r>
          </w:p>
        </w:tc>
        <w:tc>
          <w:tcPr>
            <w:tcW w:w="0" w:type="auto"/>
            <w:shd w:val="clear" w:color="auto" w:fill="auto"/>
          </w:tcPr>
          <w:p w:rsidR="00B95EA6" w:rsidRDefault="00B95EA6">
            <w:pPr>
              <w:rPr>
                <w:lang w:val="en-GB"/>
              </w:rPr>
            </w:pPr>
            <w:r>
              <w:rPr>
                <w:lang w:val="en-GB"/>
              </w:rPr>
              <w:t>(4)</w:t>
            </w:r>
          </w:p>
        </w:tc>
        <w:tc>
          <w:tcPr>
            <w:tcW w:w="0" w:type="auto"/>
            <w:shd w:val="clear" w:color="auto" w:fill="auto"/>
          </w:tcPr>
          <w:p w:rsidR="00B95EA6" w:rsidRDefault="00B95EA6">
            <w:pPr>
              <w:rPr>
                <w:lang w:val="cs-CZ"/>
              </w:rPr>
            </w:pPr>
            <w:r>
              <w:rPr>
                <w:lang w:val="cs-CZ"/>
              </w:rPr>
              <w:t>(4)</w:t>
            </w:r>
          </w:p>
        </w:tc>
      </w:tr>
      <w:tr w:rsidR="00B95EA6" w:rsidTr="00A26A8C">
        <w:tc>
          <w:tcPr>
            <w:tcW w:w="0" w:type="auto"/>
            <w:shd w:val="clear" w:color="auto" w:fill="auto"/>
          </w:tcPr>
          <w:p w:rsidR="00B95EA6" w:rsidRDefault="00B95EA6">
            <w:pPr>
              <w:rPr>
                <w:lang w:val="en-GB"/>
              </w:rPr>
            </w:pPr>
            <w:r>
              <w:rPr>
                <w:rStyle w:val="SegmentID"/>
                <w:lang w:val="en-GB"/>
              </w:rPr>
              <w:t>24</w:t>
            </w:r>
            <w:r>
              <w:rPr>
                <w:rStyle w:val="TransUnitID"/>
                <w:lang w:val="en-GB"/>
              </w:rPr>
              <w:t>aa522b04-51ed-4f1b-8446-1dcee06b4482</w:t>
            </w:r>
          </w:p>
        </w:tc>
        <w:tc>
          <w:tcPr>
            <w:tcW w:w="0" w:type="auto"/>
            <w:shd w:val="clear" w:color="auto" w:fill="auto"/>
          </w:tcPr>
          <w:p w:rsidR="00B95EA6" w:rsidRDefault="00B95EA6">
            <w:pPr>
              <w:rPr>
                <w:lang w:val="en-GB"/>
              </w:rPr>
            </w:pPr>
            <w:r>
              <w:rPr>
                <w:lang w:val="en-GB"/>
              </w:rPr>
              <w:t>The 700 MHz frequency band represents an opportunity for globally harmonised and coordinated spectrum for wireless broadband that offers economies of scale.</w:t>
            </w:r>
          </w:p>
        </w:tc>
        <w:tc>
          <w:tcPr>
            <w:tcW w:w="0" w:type="auto"/>
            <w:shd w:val="clear" w:color="auto" w:fill="auto"/>
          </w:tcPr>
          <w:p w:rsidR="00B95EA6" w:rsidRDefault="00B95EA6">
            <w:pPr>
              <w:rPr>
                <w:lang w:val="cs-CZ"/>
              </w:rPr>
            </w:pPr>
            <w:r>
              <w:rPr>
                <w:lang w:val="cs-CZ"/>
              </w:rPr>
              <w:t>pásmo 700 MHz, představuje možnost globálně harmonizovaného a koordinaci spektra pro bezdrátové širokopásmové připojení, který umožňuje úspory z rozsahu.</w:t>
            </w:r>
          </w:p>
        </w:tc>
      </w:tr>
      <w:tr w:rsidR="00B95EA6" w:rsidTr="00A26A8C">
        <w:tc>
          <w:tcPr>
            <w:tcW w:w="0" w:type="auto"/>
            <w:shd w:val="clear" w:color="auto" w:fill="auto"/>
          </w:tcPr>
          <w:p w:rsidR="00B95EA6" w:rsidRDefault="00B95EA6">
            <w:pPr>
              <w:rPr>
                <w:lang w:val="en-GB"/>
              </w:rPr>
            </w:pPr>
            <w:r>
              <w:rPr>
                <w:rStyle w:val="SegmentID"/>
                <w:lang w:val="en-GB"/>
              </w:rPr>
              <w:t>25</w:t>
            </w:r>
            <w:r>
              <w:rPr>
                <w:rStyle w:val="TransUnitID"/>
                <w:lang w:val="en-GB"/>
              </w:rPr>
              <w:t>aa522b04-51ed-4f1b-8446-1dcee06b4482</w:t>
            </w:r>
          </w:p>
        </w:tc>
        <w:tc>
          <w:tcPr>
            <w:tcW w:w="0" w:type="auto"/>
            <w:shd w:val="clear" w:color="auto" w:fill="auto"/>
          </w:tcPr>
          <w:p w:rsidR="00B95EA6" w:rsidRDefault="00B95EA6">
            <w:pPr>
              <w:rPr>
                <w:lang w:val="en-GB"/>
              </w:rPr>
            </w:pPr>
            <w:r>
              <w:rPr>
                <w:lang w:val="en-GB"/>
              </w:rPr>
              <w:t xml:space="preserve">It should allow new innovative digital services to be developed in urban and in rural or remote areas, such as eHealth and </w:t>
            </w:r>
            <w:proofErr w:type="spellStart"/>
            <w:r>
              <w:rPr>
                <w:lang w:val="en-GB"/>
              </w:rPr>
              <w:t>mHealth</w:t>
            </w:r>
            <w:proofErr w:type="spellEnd"/>
            <w:r>
              <w:rPr>
                <w:lang w:val="en-GB"/>
              </w:rPr>
              <w:t>, supported by mobile phones, patient-monitoring devices and other wireless devices, as well as smart energy grids.</w:t>
            </w:r>
          </w:p>
        </w:tc>
        <w:tc>
          <w:tcPr>
            <w:tcW w:w="0" w:type="auto"/>
            <w:shd w:val="clear" w:color="auto" w:fill="auto"/>
          </w:tcPr>
          <w:p w:rsidR="00B95EA6" w:rsidRDefault="00B95EA6">
            <w:pPr>
              <w:rPr>
                <w:lang w:val="cs-CZ"/>
              </w:rPr>
            </w:pPr>
            <w:r>
              <w:rPr>
                <w:lang w:val="cs-CZ"/>
              </w:rPr>
              <w:t xml:space="preserve">Bylo by nových digitálních služeb, které mají být vyvinuty inovativní v městských a venkovských, vzdálených nebo jako, elektronické zdravotnické a mobilní telefony, přičemž mobilní zařízení pro </w:t>
            </w:r>
            <w:proofErr w:type="gramStart"/>
            <w:r>
              <w:rPr>
                <w:lang w:val="cs-CZ"/>
              </w:rPr>
              <w:t>bezdrátové</w:t>
            </w:r>
            <w:proofErr w:type="gramEnd"/>
            <w:r>
              <w:rPr>
                <w:lang w:val="cs-CZ"/>
              </w:rPr>
              <w:t xml:space="preserve"> </w:t>
            </w:r>
            <w:proofErr w:type="spellStart"/>
            <w:r>
              <w:rPr>
                <w:lang w:val="cs-CZ"/>
              </w:rPr>
              <w:t>patient</w:t>
            </w:r>
            <w:proofErr w:type="spellEnd"/>
            <w:r>
              <w:rPr>
                <w:lang w:val="cs-CZ"/>
              </w:rPr>
              <w:t>-monitoring a jiná zařízení, jakož i pro inteligentní energii sítě.</w:t>
            </w:r>
          </w:p>
        </w:tc>
      </w:tr>
      <w:tr w:rsidR="00B95EA6" w:rsidTr="00A26A8C">
        <w:tc>
          <w:tcPr>
            <w:tcW w:w="0" w:type="auto"/>
            <w:shd w:val="clear" w:color="auto" w:fill="auto"/>
          </w:tcPr>
          <w:p w:rsidR="00B95EA6" w:rsidRDefault="00B95EA6">
            <w:pPr>
              <w:rPr>
                <w:lang w:val="en-GB"/>
              </w:rPr>
            </w:pPr>
            <w:r>
              <w:rPr>
                <w:rStyle w:val="SegmentID"/>
                <w:lang w:val="en-GB"/>
              </w:rPr>
              <w:t>26</w:t>
            </w:r>
            <w:r>
              <w:rPr>
                <w:rStyle w:val="TransUnitID"/>
                <w:lang w:val="en-GB"/>
              </w:rPr>
              <w:t>38a5778a-71d0-49fe-add3-b69f80c83289</w:t>
            </w:r>
          </w:p>
        </w:tc>
        <w:tc>
          <w:tcPr>
            <w:tcW w:w="0" w:type="auto"/>
            <w:shd w:val="clear" w:color="auto" w:fill="auto"/>
          </w:tcPr>
          <w:p w:rsidR="00B95EA6" w:rsidRDefault="00B95EA6">
            <w:pPr>
              <w:rPr>
                <w:lang w:val="en-GB"/>
              </w:rPr>
            </w:pPr>
            <w:r>
              <w:rPr>
                <w:lang w:val="en-GB"/>
              </w:rPr>
              <w:t>(5)</w:t>
            </w:r>
          </w:p>
        </w:tc>
        <w:tc>
          <w:tcPr>
            <w:tcW w:w="0" w:type="auto"/>
            <w:shd w:val="clear" w:color="auto" w:fill="auto"/>
          </w:tcPr>
          <w:p w:rsidR="00B95EA6" w:rsidRDefault="00B95EA6">
            <w:pPr>
              <w:rPr>
                <w:lang w:val="cs-CZ"/>
              </w:rPr>
            </w:pPr>
            <w:r>
              <w:rPr>
                <w:lang w:val="cs-CZ"/>
              </w:rPr>
              <w:t>(5)</w:t>
            </w:r>
          </w:p>
        </w:tc>
      </w:tr>
      <w:tr w:rsidR="00B95EA6" w:rsidTr="00A26A8C">
        <w:tc>
          <w:tcPr>
            <w:tcW w:w="0" w:type="auto"/>
            <w:shd w:val="clear" w:color="auto" w:fill="auto"/>
          </w:tcPr>
          <w:p w:rsidR="00B95EA6" w:rsidRDefault="00B95EA6">
            <w:pPr>
              <w:rPr>
                <w:lang w:val="en-GB"/>
              </w:rPr>
            </w:pPr>
            <w:r>
              <w:rPr>
                <w:rStyle w:val="SegmentID"/>
                <w:lang w:val="en-GB"/>
              </w:rPr>
              <w:t>27</w:t>
            </w:r>
            <w:r>
              <w:rPr>
                <w:rStyle w:val="TransUnitID"/>
                <w:lang w:val="en-GB"/>
              </w:rPr>
              <w:t>31e61aa3-b0c7-412f-af1e-c617bb8c3139</w:t>
            </w:r>
          </w:p>
        </w:tc>
        <w:tc>
          <w:tcPr>
            <w:tcW w:w="0" w:type="auto"/>
            <w:shd w:val="clear" w:color="auto" w:fill="auto"/>
          </w:tcPr>
          <w:p w:rsidR="00B95EA6" w:rsidRDefault="00B95EA6">
            <w:pPr>
              <w:rPr>
                <w:lang w:val="en-GB"/>
              </w:rPr>
            </w:pPr>
            <w:r>
              <w:rPr>
                <w:lang w:val="en-GB"/>
              </w:rPr>
              <w:t>In its resolution of 19 January 2016 entitled ‘Towards a Digital Single Market Act’, the European Parliament reminded the Member States of their commitment to reach full deployment of at least minimum target speeds of 30 Mbps by 2020, highlighted that radio spectrum is a critical resource for the internal market for wireless broadband communications, as well as broadcasting, and is essential for the future competitiveness of the Union and called as a priority for a harmonised and pro-competitive framework for spectrum allocation and for effective spectrum management.</w:t>
            </w:r>
          </w:p>
        </w:tc>
        <w:tc>
          <w:tcPr>
            <w:tcW w:w="0" w:type="auto"/>
            <w:shd w:val="clear" w:color="auto" w:fill="auto"/>
          </w:tcPr>
          <w:p w:rsidR="00B95EA6" w:rsidRDefault="00B95EA6">
            <w:pPr>
              <w:rPr>
                <w:lang w:val="cs-CZ"/>
              </w:rPr>
            </w:pPr>
            <w:r>
              <w:rPr>
                <w:lang w:val="cs-CZ"/>
              </w:rPr>
              <w:t xml:space="preserve">ve svém usnesení ze dne 19. ledna 2016 s názvem „Směrem k </w:t>
            </w:r>
            <w:proofErr w:type="gramStart"/>
            <w:r>
              <w:rPr>
                <w:lang w:val="cs-CZ"/>
              </w:rPr>
              <w:t>jednotného</w:t>
            </w:r>
            <w:proofErr w:type="gramEnd"/>
            <w:r>
              <w:rPr>
                <w:lang w:val="cs-CZ"/>
              </w:rPr>
              <w:t xml:space="preserve"> digitálního trhu </w:t>
            </w:r>
            <w:proofErr w:type="spellStart"/>
            <w:r>
              <w:rPr>
                <w:lang w:val="cs-CZ"/>
              </w:rPr>
              <w:t>Act</w:t>
            </w:r>
            <w:proofErr w:type="spellEnd"/>
            <w:r>
              <w:rPr>
                <w:lang w:val="cs-CZ"/>
              </w:rPr>
              <w:t xml:space="preserve">), Evropského parlamentu v členských státech připomenula své závazky na úplné minimum cíleného provozu nejméně 30 rychlostech, </w:t>
            </w:r>
            <w:proofErr w:type="spellStart"/>
            <w:r>
              <w:rPr>
                <w:lang w:val="cs-CZ"/>
              </w:rPr>
              <w:t>mbps</w:t>
            </w:r>
            <w:proofErr w:type="spellEnd"/>
            <w:r>
              <w:rPr>
                <w:lang w:val="cs-CZ"/>
              </w:rPr>
              <w:t xml:space="preserve"> do roku 2020 zdůraznilo, že je důležité využívání rádiového spektra pro bezdrátové širokopásmové na vnitřním trhu, jakož i televizního vysílání, je zcela zásadní pro další posílení konkurenceschopnosti Unie a označován jako prioritu na harmonizovaný rámec pro spektrum pro-</w:t>
            </w:r>
            <w:proofErr w:type="spellStart"/>
            <w:r>
              <w:rPr>
                <w:lang w:val="cs-CZ"/>
              </w:rPr>
              <w:t>competitive</w:t>
            </w:r>
            <w:proofErr w:type="spellEnd"/>
            <w:r>
              <w:rPr>
                <w:lang w:val="cs-CZ"/>
              </w:rPr>
              <w:t xml:space="preserve"> a účinné přidělování a spektra.</w:t>
            </w:r>
          </w:p>
        </w:tc>
      </w:tr>
      <w:tr w:rsidR="00B95EA6" w:rsidTr="00A26A8C">
        <w:tc>
          <w:tcPr>
            <w:tcW w:w="0" w:type="auto"/>
            <w:shd w:val="clear" w:color="auto" w:fill="auto"/>
          </w:tcPr>
          <w:p w:rsidR="00B95EA6" w:rsidRDefault="00B95EA6">
            <w:pPr>
              <w:rPr>
                <w:lang w:val="en-GB"/>
              </w:rPr>
            </w:pPr>
            <w:r>
              <w:rPr>
                <w:rStyle w:val="SegmentID"/>
                <w:lang w:val="en-GB"/>
              </w:rPr>
              <w:t>28</w:t>
            </w:r>
            <w:r>
              <w:rPr>
                <w:rStyle w:val="TransUnitID"/>
                <w:lang w:val="en-GB"/>
              </w:rPr>
              <w:t>ed922fdb-672f-4fc1-90e9-35ab5b277953</w:t>
            </w:r>
          </w:p>
        </w:tc>
        <w:tc>
          <w:tcPr>
            <w:tcW w:w="0" w:type="auto"/>
            <w:shd w:val="clear" w:color="auto" w:fill="auto"/>
          </w:tcPr>
          <w:p w:rsidR="00B95EA6" w:rsidRDefault="00B95EA6">
            <w:pPr>
              <w:rPr>
                <w:lang w:val="en-GB"/>
              </w:rPr>
            </w:pPr>
            <w:r>
              <w:rPr>
                <w:lang w:val="en-GB"/>
              </w:rPr>
              <w:t>(6)</w:t>
            </w:r>
          </w:p>
        </w:tc>
        <w:tc>
          <w:tcPr>
            <w:tcW w:w="0" w:type="auto"/>
            <w:shd w:val="clear" w:color="auto" w:fill="auto"/>
          </w:tcPr>
          <w:p w:rsidR="00B95EA6" w:rsidRDefault="00B95EA6">
            <w:pPr>
              <w:rPr>
                <w:lang w:val="cs-CZ"/>
              </w:rPr>
            </w:pPr>
            <w:r>
              <w:rPr>
                <w:lang w:val="cs-CZ"/>
              </w:rPr>
              <w:t>(6)</w:t>
            </w:r>
          </w:p>
        </w:tc>
      </w:tr>
      <w:tr w:rsidR="00B95EA6" w:rsidTr="00A26A8C">
        <w:tc>
          <w:tcPr>
            <w:tcW w:w="0" w:type="auto"/>
            <w:shd w:val="clear" w:color="auto" w:fill="auto"/>
          </w:tcPr>
          <w:p w:rsidR="00B95EA6" w:rsidRDefault="00B95EA6">
            <w:pPr>
              <w:rPr>
                <w:lang w:val="en-GB"/>
              </w:rPr>
            </w:pPr>
            <w:r>
              <w:rPr>
                <w:rStyle w:val="SegmentID"/>
                <w:lang w:val="en-GB"/>
              </w:rPr>
              <w:t>29</w:t>
            </w:r>
            <w:r>
              <w:rPr>
                <w:rStyle w:val="TransUnitID"/>
                <w:lang w:val="en-GB"/>
              </w:rPr>
              <w:t>adea8684-365e-4724-b2c7-23530dc648d9</w:t>
            </w:r>
          </w:p>
        </w:tc>
        <w:tc>
          <w:tcPr>
            <w:tcW w:w="0" w:type="auto"/>
            <w:shd w:val="clear" w:color="auto" w:fill="auto"/>
          </w:tcPr>
          <w:p w:rsidR="00B95EA6" w:rsidRDefault="00B95EA6">
            <w:pPr>
              <w:rPr>
                <w:lang w:val="en-GB"/>
              </w:rPr>
            </w:pPr>
            <w:r>
              <w:rPr>
                <w:lang w:val="en-GB"/>
              </w:rPr>
              <w:t>Spectrum is a public good.</w:t>
            </w:r>
          </w:p>
        </w:tc>
        <w:tc>
          <w:tcPr>
            <w:tcW w:w="0" w:type="auto"/>
            <w:shd w:val="clear" w:color="auto" w:fill="auto"/>
          </w:tcPr>
          <w:p w:rsidR="00B95EA6" w:rsidRDefault="00B95EA6">
            <w:pPr>
              <w:rPr>
                <w:lang w:val="cs-CZ"/>
              </w:rPr>
            </w:pPr>
            <w:r>
              <w:rPr>
                <w:lang w:val="cs-CZ"/>
              </w:rPr>
              <w:t>Spektrum veřejný zboží.</w:t>
            </w:r>
          </w:p>
        </w:tc>
      </w:tr>
      <w:tr w:rsidR="00B95EA6" w:rsidTr="00A26A8C">
        <w:tc>
          <w:tcPr>
            <w:tcW w:w="0" w:type="auto"/>
            <w:shd w:val="clear" w:color="auto" w:fill="auto"/>
          </w:tcPr>
          <w:p w:rsidR="00B95EA6" w:rsidRDefault="00B95EA6">
            <w:pPr>
              <w:rPr>
                <w:lang w:val="en-GB"/>
              </w:rPr>
            </w:pPr>
            <w:r>
              <w:rPr>
                <w:rStyle w:val="SegmentID"/>
                <w:lang w:val="en-GB"/>
              </w:rPr>
              <w:t>30</w:t>
            </w:r>
            <w:r>
              <w:rPr>
                <w:rStyle w:val="TransUnitID"/>
                <w:lang w:val="en-GB"/>
              </w:rPr>
              <w:t>adea8684-365e-4724-b2c7-23530dc648d9</w:t>
            </w:r>
          </w:p>
        </w:tc>
        <w:tc>
          <w:tcPr>
            <w:tcW w:w="0" w:type="auto"/>
            <w:shd w:val="clear" w:color="auto" w:fill="auto"/>
          </w:tcPr>
          <w:p w:rsidR="00B95EA6" w:rsidRDefault="00B95EA6">
            <w:pPr>
              <w:rPr>
                <w:lang w:val="en-GB"/>
              </w:rPr>
            </w:pPr>
            <w:r>
              <w:rPr>
                <w:lang w:val="en-GB"/>
              </w:rPr>
              <w:t>It is, in the 470-790 MHz frequency band, a valuable asset for the cost-efficient deployment of wireless networks with universal indoor and outdoor coverage.</w:t>
            </w:r>
          </w:p>
        </w:tc>
        <w:tc>
          <w:tcPr>
            <w:tcW w:w="0" w:type="auto"/>
            <w:shd w:val="clear" w:color="auto" w:fill="auto"/>
          </w:tcPr>
          <w:p w:rsidR="00B95EA6" w:rsidRDefault="00B95EA6">
            <w:pPr>
              <w:rPr>
                <w:lang w:val="cs-CZ"/>
              </w:rPr>
            </w:pPr>
            <w:r>
              <w:rPr>
                <w:lang w:val="cs-CZ"/>
              </w:rPr>
              <w:t>Je v kmitočtového pásma 470–790 MHz, je hodnotným aktivem pro nákladově efektivní zavádění bezdrátových sítí s univerzální interiérovým a exteriérovým.</w:t>
            </w:r>
          </w:p>
        </w:tc>
      </w:tr>
      <w:tr w:rsidR="00B95EA6" w:rsidTr="00A26A8C">
        <w:tc>
          <w:tcPr>
            <w:tcW w:w="0" w:type="auto"/>
            <w:shd w:val="clear" w:color="auto" w:fill="auto"/>
          </w:tcPr>
          <w:p w:rsidR="00B95EA6" w:rsidRDefault="00B95EA6">
            <w:pPr>
              <w:rPr>
                <w:lang w:val="en-GB"/>
              </w:rPr>
            </w:pPr>
            <w:r>
              <w:rPr>
                <w:rStyle w:val="SegmentID"/>
                <w:lang w:val="en-GB"/>
              </w:rPr>
              <w:lastRenderedPageBreak/>
              <w:t>31</w:t>
            </w:r>
            <w:r>
              <w:rPr>
                <w:rStyle w:val="TransUnitID"/>
                <w:lang w:val="en-GB"/>
              </w:rPr>
              <w:t>adea8684-365e-4724-b2c7-23530dc648d9</w:t>
            </w:r>
          </w:p>
        </w:tc>
        <w:tc>
          <w:tcPr>
            <w:tcW w:w="0" w:type="auto"/>
            <w:shd w:val="clear" w:color="auto" w:fill="auto"/>
          </w:tcPr>
          <w:p w:rsidR="00B95EA6" w:rsidRDefault="00B95EA6">
            <w:pPr>
              <w:rPr>
                <w:lang w:val="en-GB"/>
              </w:rPr>
            </w:pPr>
            <w:r>
              <w:rPr>
                <w:lang w:val="en-GB"/>
              </w:rPr>
              <w:t>That spectrum is currently used across the Union for digital terrestrial television (‘DTT’) and wireless audio PMSE.</w:t>
            </w:r>
          </w:p>
        </w:tc>
        <w:tc>
          <w:tcPr>
            <w:tcW w:w="0" w:type="auto"/>
            <w:shd w:val="clear" w:color="auto" w:fill="auto"/>
          </w:tcPr>
          <w:p w:rsidR="00B95EA6" w:rsidRDefault="00B95EA6">
            <w:pPr>
              <w:rPr>
                <w:lang w:val="cs-CZ"/>
              </w:rPr>
            </w:pPr>
            <w:r>
              <w:rPr>
                <w:lang w:val="cs-CZ"/>
              </w:rPr>
              <w:t xml:space="preserve">spektrum, které </w:t>
            </w:r>
            <w:proofErr w:type="gramStart"/>
            <w:r>
              <w:rPr>
                <w:lang w:val="cs-CZ"/>
              </w:rPr>
              <w:t>jsou</w:t>
            </w:r>
            <w:proofErr w:type="gramEnd"/>
            <w:r>
              <w:rPr>
                <w:lang w:val="cs-CZ"/>
              </w:rPr>
              <w:t xml:space="preserve"> v současné době </w:t>
            </w:r>
            <w:proofErr w:type="gramStart"/>
            <w:r>
              <w:rPr>
                <w:lang w:val="cs-CZ"/>
              </w:rPr>
              <w:t>využívá</w:t>
            </w:r>
            <w:proofErr w:type="gramEnd"/>
            <w:r>
              <w:rPr>
                <w:lang w:val="cs-CZ"/>
              </w:rPr>
              <w:t xml:space="preserve"> po celé Unii pro účely zemského digitálního televizního vysílání (DTT) a pro bezdrátová zvuková zařízení PMSE.</w:t>
            </w:r>
          </w:p>
        </w:tc>
      </w:tr>
      <w:tr w:rsidR="00B95EA6" w:rsidTr="00A26A8C">
        <w:tc>
          <w:tcPr>
            <w:tcW w:w="0" w:type="auto"/>
            <w:shd w:val="clear" w:color="auto" w:fill="auto"/>
          </w:tcPr>
          <w:p w:rsidR="00B95EA6" w:rsidRDefault="00B95EA6">
            <w:pPr>
              <w:rPr>
                <w:lang w:val="en-GB"/>
              </w:rPr>
            </w:pPr>
            <w:r>
              <w:rPr>
                <w:rStyle w:val="SegmentID"/>
                <w:lang w:val="en-GB"/>
              </w:rPr>
              <w:t>32</w:t>
            </w:r>
            <w:r>
              <w:rPr>
                <w:rStyle w:val="TransUnitID"/>
                <w:lang w:val="en-GB"/>
              </w:rPr>
              <w:t>adea8684-365e-4724-b2c7-23530dc648d9</w:t>
            </w:r>
          </w:p>
        </w:tc>
        <w:tc>
          <w:tcPr>
            <w:tcW w:w="0" w:type="auto"/>
            <w:shd w:val="clear" w:color="auto" w:fill="auto"/>
          </w:tcPr>
          <w:p w:rsidR="00B95EA6" w:rsidRDefault="00B95EA6">
            <w:pPr>
              <w:rPr>
                <w:lang w:val="en-GB"/>
              </w:rPr>
            </w:pPr>
            <w:r>
              <w:rPr>
                <w:lang w:val="en-GB"/>
              </w:rPr>
              <w:t>It is thus a prerequisite for access to and dissemination of cultural content and of information and ideas.</w:t>
            </w:r>
          </w:p>
        </w:tc>
        <w:tc>
          <w:tcPr>
            <w:tcW w:w="0" w:type="auto"/>
            <w:shd w:val="clear" w:color="auto" w:fill="auto"/>
          </w:tcPr>
          <w:p w:rsidR="00B95EA6" w:rsidRDefault="00B95EA6">
            <w:pPr>
              <w:rPr>
                <w:lang w:val="cs-CZ"/>
              </w:rPr>
            </w:pPr>
            <w:r>
              <w:rPr>
                <w:lang w:val="cs-CZ"/>
              </w:rPr>
              <w:t>Je tedy podmínkou přístupu a kulturní a šíření informací a nápady.</w:t>
            </w:r>
          </w:p>
        </w:tc>
      </w:tr>
      <w:tr w:rsidR="00B95EA6" w:rsidTr="00A26A8C">
        <w:tc>
          <w:tcPr>
            <w:tcW w:w="0" w:type="auto"/>
            <w:shd w:val="clear" w:color="auto" w:fill="auto"/>
          </w:tcPr>
          <w:p w:rsidR="00B95EA6" w:rsidRDefault="00B95EA6">
            <w:pPr>
              <w:rPr>
                <w:lang w:val="en-GB"/>
              </w:rPr>
            </w:pPr>
            <w:r>
              <w:rPr>
                <w:rStyle w:val="SegmentID"/>
                <w:lang w:val="en-GB"/>
              </w:rPr>
              <w:t>33</w:t>
            </w:r>
            <w:r>
              <w:rPr>
                <w:rStyle w:val="TransUnitID"/>
                <w:lang w:val="en-GB"/>
              </w:rPr>
              <w:t>adea8684-365e-4724-b2c7-23530dc648d9</w:t>
            </w:r>
          </w:p>
        </w:tc>
        <w:tc>
          <w:tcPr>
            <w:tcW w:w="0" w:type="auto"/>
            <w:shd w:val="clear" w:color="auto" w:fill="auto"/>
          </w:tcPr>
          <w:p w:rsidR="00B95EA6" w:rsidRDefault="00B95EA6">
            <w:pPr>
              <w:rPr>
                <w:lang w:val="en-GB"/>
              </w:rPr>
            </w:pPr>
            <w:r>
              <w:rPr>
                <w:lang w:val="en-GB"/>
              </w:rPr>
              <w:t>It supports, in parallel to new forms of distribution, the development of the media, and of the creative, cultural and research sectors, which rely extensively on it for the wireless provision of content to end users.</w:t>
            </w:r>
          </w:p>
        </w:tc>
        <w:tc>
          <w:tcPr>
            <w:tcW w:w="0" w:type="auto"/>
            <w:shd w:val="clear" w:color="auto" w:fill="auto"/>
          </w:tcPr>
          <w:p w:rsidR="00B95EA6" w:rsidRDefault="00B95EA6">
            <w:pPr>
              <w:rPr>
                <w:lang w:val="cs-CZ"/>
              </w:rPr>
            </w:pPr>
            <w:r>
              <w:rPr>
                <w:lang w:val="cs-CZ"/>
              </w:rPr>
              <w:t>podporuje v souladu s nových způsobů distribuce, rozvoje a média, kulturní a tvůrčí odvětví výzkumu, který se bude opírat o obsahu k poskytování bezdrátových pro konečné uživatele.</w:t>
            </w:r>
          </w:p>
        </w:tc>
      </w:tr>
      <w:tr w:rsidR="00B95EA6" w:rsidTr="00A26A8C">
        <w:tc>
          <w:tcPr>
            <w:tcW w:w="0" w:type="auto"/>
            <w:shd w:val="clear" w:color="auto" w:fill="auto"/>
          </w:tcPr>
          <w:p w:rsidR="00B95EA6" w:rsidRDefault="00B95EA6">
            <w:pPr>
              <w:rPr>
                <w:lang w:val="en-GB"/>
              </w:rPr>
            </w:pPr>
            <w:r>
              <w:rPr>
                <w:rStyle w:val="SegmentID"/>
                <w:lang w:val="en-GB"/>
              </w:rPr>
              <w:t>34</w:t>
            </w:r>
            <w:r>
              <w:rPr>
                <w:rStyle w:val="TransUnitID"/>
                <w:lang w:val="en-GB"/>
              </w:rPr>
              <w:t>a1e25ea1-ee23-4253-8b69-6913ebf7c0a2</w:t>
            </w:r>
          </w:p>
        </w:tc>
        <w:tc>
          <w:tcPr>
            <w:tcW w:w="0" w:type="auto"/>
            <w:shd w:val="clear" w:color="auto" w:fill="auto"/>
          </w:tcPr>
          <w:p w:rsidR="00B95EA6" w:rsidRDefault="00B95EA6">
            <w:pPr>
              <w:rPr>
                <w:lang w:val="en-GB"/>
              </w:rPr>
            </w:pPr>
            <w:r>
              <w:rPr>
                <w:lang w:val="en-GB"/>
              </w:rPr>
              <w:t>(7)</w:t>
            </w:r>
          </w:p>
        </w:tc>
        <w:tc>
          <w:tcPr>
            <w:tcW w:w="0" w:type="auto"/>
            <w:shd w:val="clear" w:color="auto" w:fill="auto"/>
          </w:tcPr>
          <w:p w:rsidR="00B95EA6" w:rsidRDefault="00B95EA6">
            <w:pPr>
              <w:rPr>
                <w:lang w:val="cs-CZ"/>
              </w:rPr>
            </w:pPr>
            <w:r>
              <w:rPr>
                <w:lang w:val="cs-CZ"/>
              </w:rPr>
              <w:t>(7)</w:t>
            </w:r>
          </w:p>
        </w:tc>
      </w:tr>
      <w:tr w:rsidR="00B95EA6" w:rsidTr="00A26A8C">
        <w:tc>
          <w:tcPr>
            <w:tcW w:w="0" w:type="auto"/>
            <w:shd w:val="clear" w:color="auto" w:fill="auto"/>
          </w:tcPr>
          <w:p w:rsidR="00B95EA6" w:rsidRDefault="00B95EA6">
            <w:pPr>
              <w:rPr>
                <w:lang w:val="en-GB"/>
              </w:rPr>
            </w:pPr>
            <w:r>
              <w:rPr>
                <w:rStyle w:val="SegmentID"/>
                <w:lang w:val="en-GB"/>
              </w:rPr>
              <w:t>35</w:t>
            </w:r>
            <w:r>
              <w:rPr>
                <w:rStyle w:val="TransUnitID"/>
                <w:lang w:val="en-GB"/>
              </w:rPr>
              <w:t>3d956580-662c-4eb9-883a-0832fc13f3a5</w:t>
            </w:r>
          </w:p>
        </w:tc>
        <w:tc>
          <w:tcPr>
            <w:tcW w:w="0" w:type="auto"/>
            <w:shd w:val="clear" w:color="auto" w:fill="auto"/>
          </w:tcPr>
          <w:p w:rsidR="00B95EA6" w:rsidRDefault="00B95EA6">
            <w:pPr>
              <w:rPr>
                <w:lang w:val="en-GB"/>
              </w:rPr>
            </w:pPr>
            <w:r>
              <w:rPr>
                <w:lang w:val="en-GB"/>
              </w:rPr>
              <w:t>The assignment of the 700 MHz frequency band should be structured in a way that facilitates competition and should be carried out in a manner that does not undermine existing competition.</w:t>
            </w:r>
          </w:p>
        </w:tc>
        <w:tc>
          <w:tcPr>
            <w:tcW w:w="0" w:type="auto"/>
            <w:shd w:val="clear" w:color="auto" w:fill="auto"/>
          </w:tcPr>
          <w:p w:rsidR="00B95EA6" w:rsidRDefault="00B95EA6">
            <w:pPr>
              <w:rPr>
                <w:lang w:val="cs-CZ"/>
              </w:rPr>
            </w:pPr>
            <w:r>
              <w:rPr>
                <w:lang w:val="cs-CZ"/>
              </w:rPr>
              <w:t xml:space="preserve">Přidělení kmitočtového pásma 700 MHz by měly být strukturována způsobem, který </w:t>
            </w:r>
            <w:proofErr w:type="gramStart"/>
            <w:r>
              <w:rPr>
                <w:lang w:val="cs-CZ"/>
              </w:rPr>
              <w:t>umožňuje a by</w:t>
            </w:r>
            <w:proofErr w:type="gramEnd"/>
            <w:r>
              <w:rPr>
                <w:lang w:val="cs-CZ"/>
              </w:rPr>
              <w:t xml:space="preserve"> měly být prováděny způsobem, který není stávající hospodářské činnosti.</w:t>
            </w:r>
          </w:p>
        </w:tc>
      </w:tr>
      <w:tr w:rsidR="00B95EA6" w:rsidTr="00A26A8C">
        <w:tc>
          <w:tcPr>
            <w:tcW w:w="0" w:type="auto"/>
            <w:shd w:val="clear" w:color="auto" w:fill="auto"/>
          </w:tcPr>
          <w:p w:rsidR="00B95EA6" w:rsidRDefault="00B95EA6">
            <w:pPr>
              <w:rPr>
                <w:lang w:val="en-GB"/>
              </w:rPr>
            </w:pPr>
            <w:r>
              <w:rPr>
                <w:rStyle w:val="SegmentID"/>
                <w:lang w:val="en-GB"/>
              </w:rPr>
              <w:t>36</w:t>
            </w:r>
            <w:r>
              <w:rPr>
                <w:rStyle w:val="TransUnitID"/>
                <w:lang w:val="en-GB"/>
              </w:rPr>
              <w:t>4cfb6b9f-b135-4eeb-a6a4-74c5316c00c2</w:t>
            </w:r>
          </w:p>
        </w:tc>
        <w:tc>
          <w:tcPr>
            <w:tcW w:w="0" w:type="auto"/>
            <w:shd w:val="clear" w:color="auto" w:fill="auto"/>
          </w:tcPr>
          <w:p w:rsidR="00B95EA6" w:rsidRDefault="00B95EA6">
            <w:pPr>
              <w:rPr>
                <w:lang w:val="en-GB"/>
              </w:rPr>
            </w:pPr>
            <w:r>
              <w:rPr>
                <w:lang w:val="en-GB"/>
              </w:rPr>
              <w:t>(8)</w:t>
            </w:r>
          </w:p>
        </w:tc>
        <w:tc>
          <w:tcPr>
            <w:tcW w:w="0" w:type="auto"/>
            <w:shd w:val="clear" w:color="auto" w:fill="auto"/>
          </w:tcPr>
          <w:p w:rsidR="00B95EA6" w:rsidRDefault="00B95EA6">
            <w:pPr>
              <w:rPr>
                <w:lang w:val="cs-CZ"/>
              </w:rPr>
            </w:pPr>
            <w:r>
              <w:rPr>
                <w:lang w:val="cs-CZ"/>
              </w:rPr>
              <w:t>(8)</w:t>
            </w:r>
          </w:p>
        </w:tc>
      </w:tr>
      <w:tr w:rsidR="00B95EA6" w:rsidTr="00A26A8C">
        <w:tc>
          <w:tcPr>
            <w:tcW w:w="0" w:type="auto"/>
            <w:shd w:val="clear" w:color="auto" w:fill="auto"/>
          </w:tcPr>
          <w:p w:rsidR="00B95EA6" w:rsidRDefault="00B95EA6">
            <w:pPr>
              <w:rPr>
                <w:lang w:val="en-GB"/>
              </w:rPr>
            </w:pPr>
            <w:r>
              <w:rPr>
                <w:rStyle w:val="SegmentID"/>
                <w:lang w:val="en-GB"/>
              </w:rPr>
              <w:t>37</w:t>
            </w:r>
            <w:r>
              <w:rPr>
                <w:rStyle w:val="TransUnitID"/>
                <w:lang w:val="en-GB"/>
              </w:rPr>
              <w:t>a9731573-b00a-44d1-a1f3-0e1647f62dee</w:t>
            </w:r>
          </w:p>
        </w:tc>
        <w:tc>
          <w:tcPr>
            <w:tcW w:w="0" w:type="auto"/>
            <w:shd w:val="clear" w:color="auto" w:fill="auto"/>
          </w:tcPr>
          <w:p w:rsidR="00B95EA6" w:rsidRDefault="00B95EA6">
            <w:pPr>
              <w:rPr>
                <w:lang w:val="en-GB"/>
              </w:rPr>
            </w:pPr>
            <w:r>
              <w:rPr>
                <w:lang w:val="en-GB"/>
              </w:rPr>
              <w:t xml:space="preserve">For Region 1, which includes the Union, the International Telecommunication Union's Radio Regulations, adopted by the World </w:t>
            </w:r>
            <w:proofErr w:type="spellStart"/>
            <w:r>
              <w:rPr>
                <w:lang w:val="en-GB"/>
              </w:rPr>
              <w:t>Radiocommunication</w:t>
            </w:r>
            <w:proofErr w:type="spellEnd"/>
            <w:r>
              <w:rPr>
                <w:lang w:val="en-GB"/>
              </w:rPr>
              <w:t xml:space="preserve"> Conference in 2015, provide for the allocation of the 700 MHz frequency band to the broadcasting and mobile (except aeronautical mobile) services on a co-primary basis.</w:t>
            </w:r>
          </w:p>
        </w:tc>
        <w:tc>
          <w:tcPr>
            <w:tcW w:w="0" w:type="auto"/>
            <w:shd w:val="clear" w:color="auto" w:fill="auto"/>
          </w:tcPr>
          <w:p w:rsidR="00B95EA6" w:rsidRDefault="00B95EA6">
            <w:pPr>
              <w:rPr>
                <w:lang w:val="cs-CZ"/>
              </w:rPr>
            </w:pPr>
            <w:r>
              <w:rPr>
                <w:lang w:val="cs-CZ"/>
              </w:rPr>
              <w:t xml:space="preserve">Pro Region 1, což zahrnuje, Mezinárodní telekomunikační unie rádiové předpisy přijaté v roce 2015 konala světová </w:t>
            </w:r>
            <w:proofErr w:type="spellStart"/>
            <w:r>
              <w:rPr>
                <w:lang w:val="cs-CZ"/>
              </w:rPr>
              <w:t>radiocommunication</w:t>
            </w:r>
            <w:proofErr w:type="spellEnd"/>
            <w:r>
              <w:rPr>
                <w:lang w:val="cs-CZ"/>
              </w:rPr>
              <w:t xml:space="preserve"> pro přerozdělení pásma 700 MHz rovnoprávně rozhlasové a pohyblivé službě (vyjma letecké služby, a přiřazuje).</w:t>
            </w:r>
          </w:p>
        </w:tc>
      </w:tr>
      <w:tr w:rsidR="00B95EA6" w:rsidTr="00A26A8C">
        <w:tc>
          <w:tcPr>
            <w:tcW w:w="0" w:type="auto"/>
            <w:shd w:val="clear" w:color="auto" w:fill="auto"/>
          </w:tcPr>
          <w:p w:rsidR="00B95EA6" w:rsidRDefault="00B95EA6">
            <w:pPr>
              <w:rPr>
                <w:lang w:val="en-GB"/>
              </w:rPr>
            </w:pPr>
            <w:r>
              <w:rPr>
                <w:rStyle w:val="SegmentID"/>
                <w:lang w:val="en-GB"/>
              </w:rPr>
              <w:t>38</w:t>
            </w:r>
            <w:r>
              <w:rPr>
                <w:rStyle w:val="TransUnitID"/>
                <w:lang w:val="en-GB"/>
              </w:rPr>
              <w:t>a9731573-b00a-44d1-a1f3-0e1647f62dee</w:t>
            </w:r>
          </w:p>
        </w:tc>
        <w:tc>
          <w:tcPr>
            <w:tcW w:w="0" w:type="auto"/>
            <w:shd w:val="clear" w:color="auto" w:fill="auto"/>
          </w:tcPr>
          <w:p w:rsidR="00B95EA6" w:rsidRDefault="00B95EA6">
            <w:pPr>
              <w:rPr>
                <w:lang w:val="en-GB"/>
              </w:rPr>
            </w:pPr>
            <w:r>
              <w:rPr>
                <w:lang w:val="en-GB"/>
              </w:rPr>
              <w:t>The 470-694 MHz (‘sub-700 MHz’) frequency band remains exclusively allocated to the broadcasting services on a primary basis and to wireless audio PMSE use on a secondary basis.</w:t>
            </w:r>
          </w:p>
        </w:tc>
        <w:tc>
          <w:tcPr>
            <w:tcW w:w="0" w:type="auto"/>
            <w:shd w:val="clear" w:color="auto" w:fill="auto"/>
          </w:tcPr>
          <w:p w:rsidR="00B95EA6" w:rsidRDefault="00B95EA6">
            <w:pPr>
              <w:rPr>
                <w:lang w:val="cs-CZ"/>
              </w:rPr>
            </w:pPr>
            <w:r>
              <w:rPr>
                <w:lang w:val="cs-CZ"/>
              </w:rPr>
              <w:t>Komise 470–694 MHz (dále jen „kmitočtové pásmo sub-700 MHz“), který je výhradně na základě základní služby televizního vysílání a využívání bezdrátových zvukových zařízení PMSE jako druhotná.</w:t>
            </w:r>
          </w:p>
        </w:tc>
      </w:tr>
      <w:tr w:rsidR="00B95EA6" w:rsidTr="00A26A8C">
        <w:tc>
          <w:tcPr>
            <w:tcW w:w="0" w:type="auto"/>
            <w:shd w:val="clear" w:color="auto" w:fill="auto"/>
          </w:tcPr>
          <w:p w:rsidR="00B95EA6" w:rsidRDefault="00B95EA6">
            <w:pPr>
              <w:rPr>
                <w:lang w:val="en-GB"/>
              </w:rPr>
            </w:pPr>
            <w:r>
              <w:rPr>
                <w:rStyle w:val="SegmentID"/>
                <w:lang w:val="en-GB"/>
              </w:rPr>
              <w:t>39</w:t>
            </w:r>
            <w:r>
              <w:rPr>
                <w:rStyle w:val="TransUnitID"/>
                <w:lang w:val="en-GB"/>
              </w:rPr>
              <w:t>9684221d-5ea2-45d1-a1d3-dfaf20bd7b1e</w:t>
            </w:r>
          </w:p>
        </w:tc>
        <w:tc>
          <w:tcPr>
            <w:tcW w:w="0" w:type="auto"/>
            <w:shd w:val="clear" w:color="auto" w:fill="auto"/>
          </w:tcPr>
          <w:p w:rsidR="00B95EA6" w:rsidRDefault="00B95EA6">
            <w:pPr>
              <w:rPr>
                <w:lang w:val="en-GB"/>
              </w:rPr>
            </w:pPr>
            <w:r>
              <w:rPr>
                <w:lang w:val="en-GB"/>
              </w:rPr>
              <w:t>(9)</w:t>
            </w:r>
          </w:p>
        </w:tc>
        <w:tc>
          <w:tcPr>
            <w:tcW w:w="0" w:type="auto"/>
            <w:shd w:val="clear" w:color="auto" w:fill="auto"/>
          </w:tcPr>
          <w:p w:rsidR="00B95EA6" w:rsidRDefault="00B95EA6">
            <w:pPr>
              <w:rPr>
                <w:lang w:val="cs-CZ"/>
              </w:rPr>
            </w:pPr>
            <w:r>
              <w:rPr>
                <w:lang w:val="cs-CZ"/>
              </w:rPr>
              <w:t>(9)</w:t>
            </w:r>
          </w:p>
        </w:tc>
      </w:tr>
      <w:tr w:rsidR="00B95EA6" w:rsidTr="00A26A8C">
        <w:tc>
          <w:tcPr>
            <w:tcW w:w="0" w:type="auto"/>
            <w:shd w:val="clear" w:color="auto" w:fill="auto"/>
          </w:tcPr>
          <w:p w:rsidR="00B95EA6" w:rsidRDefault="00B95EA6">
            <w:pPr>
              <w:rPr>
                <w:lang w:val="en-GB"/>
              </w:rPr>
            </w:pPr>
            <w:r>
              <w:rPr>
                <w:rStyle w:val="SegmentID"/>
                <w:lang w:val="en-GB"/>
              </w:rPr>
              <w:t>40</w:t>
            </w:r>
            <w:r>
              <w:rPr>
                <w:rStyle w:val="TransUnitID"/>
                <w:lang w:val="en-GB"/>
              </w:rPr>
              <w:t>9a09706a-fd48-478f-9b87-ba65a7315feb</w:t>
            </w:r>
          </w:p>
        </w:tc>
        <w:tc>
          <w:tcPr>
            <w:tcW w:w="0" w:type="auto"/>
            <w:shd w:val="clear" w:color="auto" w:fill="auto"/>
          </w:tcPr>
          <w:p w:rsidR="00B95EA6" w:rsidRDefault="00B95EA6">
            <w:pPr>
              <w:rPr>
                <w:lang w:val="en-GB"/>
              </w:rPr>
            </w:pPr>
            <w:r>
              <w:rPr>
                <w:lang w:val="en-GB"/>
              </w:rPr>
              <w:t>Rapidly growing wireless broadband traffic and the increasing economic, industrial and social importance of the digital economy make enhanced wireless network capacity a necessity.</w:t>
            </w:r>
          </w:p>
        </w:tc>
        <w:tc>
          <w:tcPr>
            <w:tcW w:w="0" w:type="auto"/>
            <w:shd w:val="clear" w:color="auto" w:fill="auto"/>
          </w:tcPr>
          <w:p w:rsidR="00B95EA6" w:rsidRDefault="00B95EA6">
            <w:pPr>
              <w:rPr>
                <w:lang w:val="cs-CZ"/>
              </w:rPr>
            </w:pPr>
            <w:r>
              <w:rPr>
                <w:lang w:val="cs-CZ"/>
              </w:rPr>
              <w:t>rychle rostl bezdrátových širokopásmových služeb a rostoucí hospodářské, sociální a význam digitální ekonomice využívá bezdrátové síťové nezbytnosti a posílení kapacit.</w:t>
            </w:r>
          </w:p>
        </w:tc>
      </w:tr>
      <w:tr w:rsidR="00B95EA6" w:rsidTr="00A26A8C">
        <w:tc>
          <w:tcPr>
            <w:tcW w:w="0" w:type="auto"/>
            <w:shd w:val="clear" w:color="auto" w:fill="auto"/>
          </w:tcPr>
          <w:p w:rsidR="00B95EA6" w:rsidRDefault="00B95EA6">
            <w:pPr>
              <w:rPr>
                <w:lang w:val="en-GB"/>
              </w:rPr>
            </w:pPr>
            <w:r>
              <w:rPr>
                <w:rStyle w:val="SegmentID"/>
                <w:lang w:val="en-GB"/>
              </w:rPr>
              <w:t>41</w:t>
            </w:r>
            <w:r>
              <w:rPr>
                <w:rStyle w:val="TransUnitID"/>
                <w:lang w:val="en-GB"/>
              </w:rPr>
              <w:t>9a09706a-fd48-478f-9b87-ba65a7315feb</w:t>
            </w:r>
          </w:p>
        </w:tc>
        <w:tc>
          <w:tcPr>
            <w:tcW w:w="0" w:type="auto"/>
            <w:shd w:val="clear" w:color="auto" w:fill="auto"/>
          </w:tcPr>
          <w:p w:rsidR="00B95EA6" w:rsidRDefault="00B95EA6">
            <w:pPr>
              <w:rPr>
                <w:lang w:val="en-GB"/>
              </w:rPr>
            </w:pPr>
            <w:r>
              <w:rPr>
                <w:lang w:val="en-GB"/>
              </w:rPr>
              <w:t>Spectrum in the 700 MHz frequency band provides both additional capacity and universal coverage, in particular for the economically challenging rural, mountainous and insular areas as well as other remote areas, predetermined in accordance with areas that are a national priority, including along major terrestrial transport paths, and for indoor use and for wide-range machine-type communications.</w:t>
            </w:r>
          </w:p>
        </w:tc>
        <w:tc>
          <w:tcPr>
            <w:tcW w:w="0" w:type="auto"/>
            <w:shd w:val="clear" w:color="auto" w:fill="auto"/>
          </w:tcPr>
          <w:p w:rsidR="00B95EA6" w:rsidRDefault="00B95EA6">
            <w:pPr>
              <w:rPr>
                <w:lang w:val="cs-CZ"/>
              </w:rPr>
            </w:pPr>
            <w:r>
              <w:rPr>
                <w:lang w:val="cs-CZ"/>
              </w:rPr>
              <w:t xml:space="preserve">Spektrum v kmitočtovém pásmu 700 MHz, jak stanoví dodatečné kapacity, a zejména na pokrytí všeobecných hospodářsky </w:t>
            </w:r>
            <w:proofErr w:type="gramStart"/>
            <w:r>
              <w:rPr>
                <w:lang w:val="cs-CZ"/>
              </w:rPr>
              <w:t>složité</w:t>
            </w:r>
            <w:proofErr w:type="gramEnd"/>
            <w:r>
              <w:rPr>
                <w:lang w:val="cs-CZ"/>
              </w:rPr>
              <w:t xml:space="preserve"> venkovských oblastech </w:t>
            </w:r>
            <w:proofErr w:type="spellStart"/>
            <w:r>
              <w:rPr>
                <w:lang w:val="cs-CZ"/>
              </w:rPr>
              <w:t>insular</w:t>
            </w:r>
            <w:proofErr w:type="spellEnd"/>
            <w:r>
              <w:rPr>
                <w:lang w:val="cs-CZ"/>
              </w:rPr>
              <w:t xml:space="preserve">, horských, odlehlých, jakož i v jiných oblastech, jež byly předem v souladu s národní priority v oblasti, která jsou zásadní pro pozemní dopravu, včetně jejich cesty, a pro domácí použití </w:t>
            </w:r>
            <w:proofErr w:type="spellStart"/>
            <w:r>
              <w:rPr>
                <w:lang w:val="cs-CZ"/>
              </w:rPr>
              <w:t>machine</w:t>
            </w:r>
            <w:proofErr w:type="spellEnd"/>
            <w:r>
              <w:rPr>
                <w:lang w:val="cs-CZ"/>
              </w:rPr>
              <w:t xml:space="preserve">-type </w:t>
            </w:r>
            <w:proofErr w:type="spellStart"/>
            <w:r>
              <w:rPr>
                <w:lang w:val="cs-CZ"/>
              </w:rPr>
              <w:t>wide-range</w:t>
            </w:r>
            <w:proofErr w:type="spellEnd"/>
            <w:r>
              <w:rPr>
                <w:lang w:val="cs-CZ"/>
              </w:rPr>
              <w:t xml:space="preserve"> a komunikace.</w:t>
            </w:r>
          </w:p>
        </w:tc>
      </w:tr>
      <w:tr w:rsidR="00B95EA6" w:rsidTr="00A26A8C">
        <w:tc>
          <w:tcPr>
            <w:tcW w:w="0" w:type="auto"/>
            <w:shd w:val="clear" w:color="auto" w:fill="auto"/>
          </w:tcPr>
          <w:p w:rsidR="00B95EA6" w:rsidRDefault="00B95EA6">
            <w:pPr>
              <w:rPr>
                <w:lang w:val="en-GB"/>
              </w:rPr>
            </w:pPr>
            <w:r>
              <w:rPr>
                <w:rStyle w:val="SegmentID"/>
                <w:lang w:val="en-GB"/>
              </w:rPr>
              <w:t>42</w:t>
            </w:r>
            <w:r>
              <w:rPr>
                <w:rStyle w:val="TransUnitID"/>
                <w:lang w:val="en-GB"/>
              </w:rPr>
              <w:t>9a09706a-fd48-478f-9b87-ba65a7315feb</w:t>
            </w:r>
          </w:p>
        </w:tc>
        <w:tc>
          <w:tcPr>
            <w:tcW w:w="0" w:type="auto"/>
            <w:shd w:val="clear" w:color="auto" w:fill="auto"/>
          </w:tcPr>
          <w:p w:rsidR="00B95EA6" w:rsidRDefault="00B95EA6">
            <w:pPr>
              <w:rPr>
                <w:lang w:val="en-GB"/>
              </w:rPr>
            </w:pPr>
            <w:r>
              <w:rPr>
                <w:lang w:val="en-GB"/>
              </w:rPr>
              <w:t>In that context, coherent and coordinated measures for high-quality terrestrial wireless coverage across the Union, building on best national practices for operators' licence obligations, should aim to meet the RSPP objective that all citizens throughout the Union should have access both indoors and outdoors, to the fastest broadband speeds of not less than 30 Mbps by 2020, and should aim to achieve an ambitious vision for a gigabit society in the Union.</w:t>
            </w:r>
          </w:p>
        </w:tc>
        <w:tc>
          <w:tcPr>
            <w:tcW w:w="0" w:type="auto"/>
            <w:shd w:val="clear" w:color="auto" w:fill="auto"/>
          </w:tcPr>
          <w:p w:rsidR="00B95EA6" w:rsidRDefault="00B95EA6">
            <w:pPr>
              <w:rPr>
                <w:lang w:val="cs-CZ"/>
              </w:rPr>
            </w:pPr>
            <w:r>
              <w:rPr>
                <w:lang w:val="cs-CZ"/>
              </w:rPr>
              <w:t xml:space="preserve">V této souvislosti soudržný, koordinovaný opatření pro vysoce kvalitní zemských bezdrátových zahrnuté v celé Unii, a na základě osvědčených postupů u vnitrostátních provozovatelů k povinnostem, </w:t>
            </w:r>
            <w:proofErr w:type="gramStart"/>
            <w:r>
              <w:rPr>
                <w:lang w:val="cs-CZ"/>
              </w:rPr>
              <w:t>by</w:t>
            </w:r>
            <w:proofErr w:type="gramEnd"/>
            <w:r>
              <w:rPr>
                <w:lang w:val="cs-CZ"/>
              </w:rPr>
              <w:t xml:space="preserve"> mělo sloužit k dosažení tohoto cíle rádiového všem občanům přístup v celé Unii </w:t>
            </w:r>
            <w:proofErr w:type="gramStart"/>
            <w:r>
              <w:rPr>
                <w:lang w:val="cs-CZ"/>
              </w:rPr>
              <w:t>by</w:t>
            </w:r>
            <w:proofErr w:type="gramEnd"/>
            <w:r>
              <w:rPr>
                <w:lang w:val="cs-CZ"/>
              </w:rPr>
              <w:t xml:space="preserve"> venkovních prostorech, a to nejrychleji širokopásmového rychlostmi ne méně než 30 </w:t>
            </w:r>
            <w:proofErr w:type="spellStart"/>
            <w:r>
              <w:rPr>
                <w:lang w:val="cs-CZ"/>
              </w:rPr>
              <w:t>mbps</w:t>
            </w:r>
            <w:proofErr w:type="spellEnd"/>
            <w:r>
              <w:rPr>
                <w:lang w:val="cs-CZ"/>
              </w:rPr>
              <w:t xml:space="preserve"> v roce 2020, přičemž by se měl zaměřit na ambiciózní výhled na gigabit společnosti v Unii.</w:t>
            </w:r>
          </w:p>
        </w:tc>
      </w:tr>
      <w:tr w:rsidR="00B95EA6" w:rsidTr="00A26A8C">
        <w:tc>
          <w:tcPr>
            <w:tcW w:w="0" w:type="auto"/>
            <w:shd w:val="clear" w:color="auto" w:fill="auto"/>
          </w:tcPr>
          <w:p w:rsidR="00B95EA6" w:rsidRDefault="00B95EA6">
            <w:pPr>
              <w:rPr>
                <w:lang w:val="en-GB"/>
              </w:rPr>
            </w:pPr>
            <w:r>
              <w:rPr>
                <w:rStyle w:val="SegmentID"/>
                <w:lang w:val="en-GB"/>
              </w:rPr>
              <w:t>43</w:t>
            </w:r>
            <w:r>
              <w:rPr>
                <w:rStyle w:val="TransUnitID"/>
                <w:lang w:val="en-GB"/>
              </w:rPr>
              <w:t>9a09706a-fd48-478f-9b87-ba65a7315feb</w:t>
            </w:r>
          </w:p>
        </w:tc>
        <w:tc>
          <w:tcPr>
            <w:tcW w:w="0" w:type="auto"/>
            <w:shd w:val="clear" w:color="auto" w:fill="auto"/>
          </w:tcPr>
          <w:p w:rsidR="00B95EA6" w:rsidRDefault="00B95EA6">
            <w:pPr>
              <w:rPr>
                <w:lang w:val="en-GB"/>
              </w:rPr>
            </w:pPr>
            <w:r>
              <w:rPr>
                <w:lang w:val="en-GB"/>
              </w:rPr>
              <w:t>Such measures will promote innovative digital services and ensure long-</w:t>
            </w:r>
            <w:r>
              <w:rPr>
                <w:lang w:val="en-GB"/>
              </w:rPr>
              <w:lastRenderedPageBreak/>
              <w:t>term socioeconomic benefits.</w:t>
            </w:r>
          </w:p>
        </w:tc>
        <w:tc>
          <w:tcPr>
            <w:tcW w:w="0" w:type="auto"/>
            <w:shd w:val="clear" w:color="auto" w:fill="auto"/>
          </w:tcPr>
          <w:p w:rsidR="00B95EA6" w:rsidRDefault="00B95EA6">
            <w:pPr>
              <w:rPr>
                <w:lang w:val="cs-CZ"/>
              </w:rPr>
            </w:pPr>
            <w:r>
              <w:rPr>
                <w:lang w:val="cs-CZ"/>
              </w:rPr>
              <w:lastRenderedPageBreak/>
              <w:t xml:space="preserve">taková opatření podpoří inovativní digitálních služeb a zajistí </w:t>
            </w:r>
            <w:r>
              <w:rPr>
                <w:lang w:val="cs-CZ"/>
              </w:rPr>
              <w:lastRenderedPageBreak/>
              <w:t>dlouhodobou hospodářských a sociálních dávek.</w:t>
            </w:r>
          </w:p>
        </w:tc>
      </w:tr>
      <w:tr w:rsidR="00B95EA6" w:rsidTr="00A26A8C">
        <w:tc>
          <w:tcPr>
            <w:tcW w:w="0" w:type="auto"/>
            <w:shd w:val="clear" w:color="auto" w:fill="auto"/>
          </w:tcPr>
          <w:p w:rsidR="00B95EA6" w:rsidRDefault="00B95EA6">
            <w:pPr>
              <w:rPr>
                <w:lang w:val="en-GB"/>
              </w:rPr>
            </w:pPr>
            <w:r>
              <w:rPr>
                <w:rStyle w:val="SegmentID"/>
                <w:lang w:val="en-GB"/>
              </w:rPr>
              <w:lastRenderedPageBreak/>
              <w:t>44</w:t>
            </w:r>
            <w:r>
              <w:rPr>
                <w:rStyle w:val="TransUnitID"/>
                <w:lang w:val="en-GB"/>
              </w:rPr>
              <w:t>30fd7383-7c69-44cc-9e87-f0ad9fdfe95e</w:t>
            </w:r>
          </w:p>
        </w:tc>
        <w:tc>
          <w:tcPr>
            <w:tcW w:w="0" w:type="auto"/>
            <w:shd w:val="clear" w:color="auto" w:fill="auto"/>
          </w:tcPr>
          <w:p w:rsidR="00B95EA6" w:rsidRDefault="00B95EA6">
            <w:pPr>
              <w:rPr>
                <w:lang w:val="en-GB"/>
              </w:rPr>
            </w:pPr>
            <w:r>
              <w:rPr>
                <w:lang w:val="en-GB"/>
              </w:rPr>
              <w:t>(10)</w:t>
            </w:r>
          </w:p>
        </w:tc>
        <w:tc>
          <w:tcPr>
            <w:tcW w:w="0" w:type="auto"/>
            <w:shd w:val="clear" w:color="auto" w:fill="auto"/>
          </w:tcPr>
          <w:p w:rsidR="00B95EA6" w:rsidRDefault="00B95EA6">
            <w:pPr>
              <w:rPr>
                <w:lang w:val="cs-CZ"/>
              </w:rPr>
            </w:pPr>
            <w:r>
              <w:rPr>
                <w:lang w:val="cs-CZ"/>
              </w:rPr>
              <w:t>(10)</w:t>
            </w:r>
          </w:p>
        </w:tc>
      </w:tr>
      <w:tr w:rsidR="00B95EA6" w:rsidTr="00A26A8C">
        <w:tc>
          <w:tcPr>
            <w:tcW w:w="0" w:type="auto"/>
            <w:shd w:val="clear" w:color="auto" w:fill="auto"/>
          </w:tcPr>
          <w:p w:rsidR="00B95EA6" w:rsidRDefault="00B95EA6">
            <w:pPr>
              <w:rPr>
                <w:lang w:val="en-GB"/>
              </w:rPr>
            </w:pPr>
            <w:r>
              <w:rPr>
                <w:rStyle w:val="SegmentID"/>
                <w:lang w:val="en-GB"/>
              </w:rPr>
              <w:t>45</w:t>
            </w:r>
            <w:r>
              <w:rPr>
                <w:rStyle w:val="TransUnitID"/>
                <w:lang w:val="en-GB"/>
              </w:rPr>
              <w:t>05f19d89-2a52-4f01-a8dd-bccde0926d5d</w:t>
            </w:r>
          </w:p>
        </w:tc>
        <w:tc>
          <w:tcPr>
            <w:tcW w:w="0" w:type="auto"/>
            <w:shd w:val="clear" w:color="auto" w:fill="auto"/>
          </w:tcPr>
          <w:p w:rsidR="00B95EA6" w:rsidRDefault="00B95EA6">
            <w:pPr>
              <w:rPr>
                <w:lang w:val="en-GB"/>
              </w:rPr>
            </w:pPr>
            <w:r>
              <w:rPr>
                <w:lang w:val="en-GB"/>
              </w:rPr>
              <w:t>5G will have a major impact not only on the digital sector, but on economies as a whole.</w:t>
            </w:r>
          </w:p>
        </w:tc>
        <w:tc>
          <w:tcPr>
            <w:tcW w:w="0" w:type="auto"/>
            <w:shd w:val="clear" w:color="auto" w:fill="auto"/>
          </w:tcPr>
          <w:p w:rsidR="00B95EA6" w:rsidRDefault="00B95EA6">
            <w:pPr>
              <w:rPr>
                <w:lang w:val="cs-CZ"/>
              </w:rPr>
            </w:pPr>
            <w:r>
              <w:rPr>
                <w:lang w:val="cs-CZ"/>
              </w:rPr>
              <w:t>5G budou mít nejen významný dopad na digitální, ale na ekonomiku jako celek.</w:t>
            </w:r>
          </w:p>
        </w:tc>
      </w:tr>
      <w:tr w:rsidR="00B95EA6" w:rsidTr="00A26A8C">
        <w:tc>
          <w:tcPr>
            <w:tcW w:w="0" w:type="auto"/>
            <w:shd w:val="clear" w:color="auto" w:fill="auto"/>
          </w:tcPr>
          <w:p w:rsidR="00B95EA6" w:rsidRDefault="00B95EA6">
            <w:pPr>
              <w:rPr>
                <w:lang w:val="en-GB"/>
              </w:rPr>
            </w:pPr>
            <w:r>
              <w:rPr>
                <w:rStyle w:val="SegmentID"/>
                <w:lang w:val="en-GB"/>
              </w:rPr>
              <w:t>46</w:t>
            </w:r>
            <w:r>
              <w:rPr>
                <w:rStyle w:val="TransUnitID"/>
                <w:lang w:val="en-GB"/>
              </w:rPr>
              <w:t>05f19d89-2a52-4f01-a8dd-bccde0926d5d</w:t>
            </w:r>
          </w:p>
        </w:tc>
        <w:tc>
          <w:tcPr>
            <w:tcW w:w="0" w:type="auto"/>
            <w:shd w:val="clear" w:color="auto" w:fill="auto"/>
          </w:tcPr>
          <w:p w:rsidR="00B95EA6" w:rsidRDefault="00B95EA6">
            <w:pPr>
              <w:rPr>
                <w:lang w:val="en-GB"/>
              </w:rPr>
            </w:pPr>
            <w:r>
              <w:rPr>
                <w:lang w:val="en-GB"/>
              </w:rPr>
              <w:t>Especially against the backdrop of the slow deployment of 4G and corresponding services, the successful launch of 5G in the Union will be crucial for economic development and for the competitiveness and productivity of the Union's economy.</w:t>
            </w:r>
          </w:p>
        </w:tc>
        <w:tc>
          <w:tcPr>
            <w:tcW w:w="0" w:type="auto"/>
            <w:shd w:val="clear" w:color="auto" w:fill="auto"/>
          </w:tcPr>
          <w:p w:rsidR="00B95EA6" w:rsidRDefault="00B95EA6">
            <w:pPr>
              <w:rPr>
                <w:lang w:val="cs-CZ"/>
              </w:rPr>
            </w:pPr>
            <w:r>
              <w:rPr>
                <w:lang w:val="cs-CZ"/>
              </w:rPr>
              <w:t xml:space="preserve">Společnosti, zejména na zavádění pomalé </w:t>
            </w:r>
            <w:proofErr w:type="spellStart"/>
            <w:r>
              <w:rPr>
                <w:lang w:val="cs-CZ"/>
              </w:rPr>
              <w:t>backdrop</w:t>
            </w:r>
            <w:proofErr w:type="spellEnd"/>
            <w:r>
              <w:rPr>
                <w:lang w:val="cs-CZ"/>
              </w:rPr>
              <w:t xml:space="preserve"> 4g poskytování služeb, řízení a zahájení 5G v Unii má zásadní význam pro hospodářský rozvoj a pro konkurenceschopnost a produktivity hospodářství Unie.</w:t>
            </w:r>
          </w:p>
        </w:tc>
      </w:tr>
      <w:tr w:rsidR="00B95EA6" w:rsidTr="00A26A8C">
        <w:tc>
          <w:tcPr>
            <w:tcW w:w="0" w:type="auto"/>
            <w:shd w:val="clear" w:color="auto" w:fill="auto"/>
          </w:tcPr>
          <w:p w:rsidR="00B95EA6" w:rsidRDefault="00B95EA6">
            <w:pPr>
              <w:rPr>
                <w:lang w:val="en-GB"/>
              </w:rPr>
            </w:pPr>
            <w:r>
              <w:rPr>
                <w:rStyle w:val="SegmentID"/>
                <w:lang w:val="en-GB"/>
              </w:rPr>
              <w:t>47</w:t>
            </w:r>
            <w:r>
              <w:rPr>
                <w:rStyle w:val="TransUnitID"/>
                <w:lang w:val="en-GB"/>
              </w:rPr>
              <w:t>05f19d89-2a52-4f01-a8dd-bccde0926d5d</w:t>
            </w:r>
          </w:p>
        </w:tc>
        <w:tc>
          <w:tcPr>
            <w:tcW w:w="0" w:type="auto"/>
            <w:shd w:val="clear" w:color="auto" w:fill="auto"/>
          </w:tcPr>
          <w:p w:rsidR="00B95EA6" w:rsidRDefault="00B95EA6">
            <w:pPr>
              <w:rPr>
                <w:lang w:val="en-GB"/>
              </w:rPr>
            </w:pPr>
            <w:r>
              <w:rPr>
                <w:lang w:val="en-GB"/>
              </w:rPr>
              <w:t xml:space="preserve">The Union therefore needs to take the lead by securing enough </w:t>
            </w:r>
            <w:proofErr w:type="gramStart"/>
            <w:r>
              <w:rPr>
                <w:lang w:val="en-GB"/>
              </w:rPr>
              <w:t>spectrum</w:t>
            </w:r>
            <w:proofErr w:type="gramEnd"/>
            <w:r>
              <w:rPr>
                <w:lang w:val="en-GB"/>
              </w:rPr>
              <w:t xml:space="preserve"> for the successful launch and development of 5G.</w:t>
            </w:r>
          </w:p>
        </w:tc>
        <w:tc>
          <w:tcPr>
            <w:tcW w:w="0" w:type="auto"/>
            <w:shd w:val="clear" w:color="auto" w:fill="auto"/>
          </w:tcPr>
          <w:p w:rsidR="00B95EA6" w:rsidRDefault="00B95EA6">
            <w:pPr>
              <w:rPr>
                <w:lang w:val="cs-CZ"/>
              </w:rPr>
            </w:pPr>
            <w:r>
              <w:rPr>
                <w:lang w:val="cs-CZ"/>
              </w:rPr>
              <w:t>Unie proto musí přijmout opatření k zajištění dostatečné spektrum pro úspěšný rozvoj a využívání 5G.</w:t>
            </w:r>
          </w:p>
        </w:tc>
      </w:tr>
      <w:tr w:rsidR="00B95EA6" w:rsidTr="00A26A8C">
        <w:tc>
          <w:tcPr>
            <w:tcW w:w="0" w:type="auto"/>
            <w:shd w:val="clear" w:color="auto" w:fill="auto"/>
          </w:tcPr>
          <w:p w:rsidR="00B95EA6" w:rsidRDefault="00B95EA6">
            <w:pPr>
              <w:rPr>
                <w:lang w:val="en-GB"/>
              </w:rPr>
            </w:pPr>
            <w:r>
              <w:rPr>
                <w:rStyle w:val="SegmentID"/>
                <w:lang w:val="en-GB"/>
              </w:rPr>
              <w:t>48</w:t>
            </w:r>
            <w:r>
              <w:rPr>
                <w:rStyle w:val="TransUnitID"/>
                <w:lang w:val="en-GB"/>
              </w:rPr>
              <w:t>05f19d89-2a52-4f01-a8dd-bccde0926d5d</w:t>
            </w:r>
          </w:p>
        </w:tc>
        <w:tc>
          <w:tcPr>
            <w:tcW w:w="0" w:type="auto"/>
            <w:shd w:val="clear" w:color="auto" w:fill="auto"/>
          </w:tcPr>
          <w:p w:rsidR="00B95EA6" w:rsidRDefault="00B95EA6">
            <w:pPr>
              <w:rPr>
                <w:lang w:val="en-GB"/>
              </w:rPr>
            </w:pPr>
            <w:r>
              <w:rPr>
                <w:lang w:val="en-GB"/>
              </w:rPr>
              <w:t>In addition, when authorising the use of the 700 MHz frequency band, Member States should take account of the opportunity to ensure that mobile virtual network operators are able to increase their geographical coverage.</w:t>
            </w:r>
          </w:p>
        </w:tc>
        <w:tc>
          <w:tcPr>
            <w:tcW w:w="0" w:type="auto"/>
            <w:shd w:val="clear" w:color="auto" w:fill="auto"/>
          </w:tcPr>
          <w:p w:rsidR="00B95EA6" w:rsidRDefault="00B95EA6">
            <w:pPr>
              <w:rPr>
                <w:lang w:val="cs-CZ"/>
              </w:rPr>
            </w:pPr>
            <w:r>
              <w:rPr>
                <w:lang w:val="cs-CZ"/>
              </w:rPr>
              <w:t xml:space="preserve">Kromě toho, pokud jde o využívání kmitočtového pásma 700 MHz by členské státy měly zohlednit, aby se zajistilo, že mobilních sítí, </w:t>
            </w:r>
            <w:proofErr w:type="gramStart"/>
            <w:r>
              <w:rPr>
                <w:lang w:val="cs-CZ"/>
              </w:rPr>
              <w:t>kteří</w:t>
            </w:r>
            <w:proofErr w:type="gramEnd"/>
            <w:r>
              <w:rPr>
                <w:lang w:val="cs-CZ"/>
              </w:rPr>
              <w:t xml:space="preserve"> mají možnost zvýšit zeměpisné pokrytí.</w:t>
            </w:r>
          </w:p>
        </w:tc>
      </w:tr>
      <w:tr w:rsidR="00B95EA6" w:rsidTr="00A26A8C">
        <w:tc>
          <w:tcPr>
            <w:tcW w:w="0" w:type="auto"/>
            <w:shd w:val="clear" w:color="auto" w:fill="auto"/>
          </w:tcPr>
          <w:p w:rsidR="00B95EA6" w:rsidRDefault="00B95EA6">
            <w:pPr>
              <w:rPr>
                <w:lang w:val="en-GB"/>
              </w:rPr>
            </w:pPr>
            <w:r>
              <w:rPr>
                <w:rStyle w:val="SegmentID"/>
                <w:lang w:val="en-GB"/>
              </w:rPr>
              <w:t>49</w:t>
            </w:r>
            <w:r>
              <w:rPr>
                <w:rStyle w:val="TransUnitID"/>
                <w:lang w:val="en-GB"/>
              </w:rPr>
              <w:t>05f19d89-2a52-4f01-a8dd-bccde0926d5d</w:t>
            </w:r>
          </w:p>
        </w:tc>
        <w:tc>
          <w:tcPr>
            <w:tcW w:w="0" w:type="auto"/>
            <w:shd w:val="clear" w:color="auto" w:fill="auto"/>
          </w:tcPr>
          <w:p w:rsidR="00B95EA6" w:rsidRDefault="00B95EA6">
            <w:pPr>
              <w:rPr>
                <w:lang w:val="en-GB"/>
              </w:rPr>
            </w:pPr>
            <w:r>
              <w:rPr>
                <w:lang w:val="en-GB"/>
              </w:rPr>
              <w:t>Where a Member State so requests, the Commission should, where feasible, facilitate the option of jointly organised auctions, thus contributing to pan-European structures.</w:t>
            </w:r>
          </w:p>
        </w:tc>
        <w:tc>
          <w:tcPr>
            <w:tcW w:w="0" w:type="auto"/>
            <w:shd w:val="clear" w:color="auto" w:fill="auto"/>
          </w:tcPr>
          <w:p w:rsidR="00B95EA6" w:rsidRDefault="00B95EA6">
            <w:pPr>
              <w:rPr>
                <w:lang w:val="cs-CZ"/>
              </w:rPr>
            </w:pPr>
            <w:r>
              <w:rPr>
                <w:lang w:val="cs-CZ"/>
              </w:rPr>
              <w:t xml:space="preserve">Jestliže členský stát požaduje, musí o tom, je-li to možné, tak možnost společně pořádaných aukce, a tím přispět na celoevropské </w:t>
            </w:r>
            <w:proofErr w:type="gramStart"/>
            <w:r>
              <w:rPr>
                <w:lang w:val="cs-CZ"/>
              </w:rPr>
              <w:t>struktur</w:t>
            </w:r>
            <w:proofErr w:type="gramEnd"/>
            <w:r>
              <w:rPr>
                <w:lang w:val="cs-CZ"/>
              </w:rPr>
              <w:t>.</w:t>
            </w:r>
          </w:p>
        </w:tc>
      </w:tr>
      <w:tr w:rsidR="00B95EA6" w:rsidTr="00A26A8C">
        <w:tc>
          <w:tcPr>
            <w:tcW w:w="0" w:type="auto"/>
            <w:shd w:val="clear" w:color="auto" w:fill="auto"/>
          </w:tcPr>
          <w:p w:rsidR="00B95EA6" w:rsidRDefault="00B95EA6">
            <w:pPr>
              <w:rPr>
                <w:lang w:val="en-GB"/>
              </w:rPr>
            </w:pPr>
            <w:r>
              <w:rPr>
                <w:rStyle w:val="SegmentID"/>
                <w:lang w:val="en-GB"/>
              </w:rPr>
              <w:t>50</w:t>
            </w:r>
            <w:r>
              <w:rPr>
                <w:rStyle w:val="TransUnitID"/>
                <w:lang w:val="en-GB"/>
              </w:rPr>
              <w:t>3d3e7312-4d2c-4b8d-a6e0-73397a0ce635</w:t>
            </w:r>
          </w:p>
        </w:tc>
        <w:tc>
          <w:tcPr>
            <w:tcW w:w="0" w:type="auto"/>
            <w:shd w:val="clear" w:color="auto" w:fill="auto"/>
          </w:tcPr>
          <w:p w:rsidR="00B95EA6" w:rsidRDefault="00B95EA6">
            <w:pPr>
              <w:rPr>
                <w:lang w:val="en-GB"/>
              </w:rPr>
            </w:pPr>
            <w:r>
              <w:rPr>
                <w:lang w:val="en-GB"/>
              </w:rPr>
              <w:t>(11)</w:t>
            </w:r>
          </w:p>
        </w:tc>
        <w:tc>
          <w:tcPr>
            <w:tcW w:w="0" w:type="auto"/>
            <w:shd w:val="clear" w:color="auto" w:fill="auto"/>
          </w:tcPr>
          <w:p w:rsidR="00B95EA6" w:rsidRDefault="00B95EA6">
            <w:pPr>
              <w:rPr>
                <w:lang w:val="cs-CZ"/>
              </w:rPr>
            </w:pPr>
            <w:r>
              <w:rPr>
                <w:lang w:val="cs-CZ"/>
              </w:rPr>
              <w:t>(11)</w:t>
            </w:r>
          </w:p>
        </w:tc>
      </w:tr>
      <w:tr w:rsidR="00B95EA6" w:rsidTr="00A26A8C">
        <w:tc>
          <w:tcPr>
            <w:tcW w:w="0" w:type="auto"/>
            <w:shd w:val="clear" w:color="auto" w:fill="auto"/>
          </w:tcPr>
          <w:p w:rsidR="00B95EA6" w:rsidRDefault="00B95EA6">
            <w:pPr>
              <w:rPr>
                <w:lang w:val="en-GB"/>
              </w:rPr>
            </w:pPr>
            <w:r>
              <w:rPr>
                <w:rStyle w:val="SegmentID"/>
                <w:lang w:val="en-GB"/>
              </w:rPr>
              <w:t>51</w:t>
            </w:r>
            <w:r>
              <w:rPr>
                <w:rStyle w:val="TransUnitID"/>
                <w:lang w:val="en-GB"/>
              </w:rPr>
              <w:t>c9e43272-1789-4e64-bd17-c3584f7b90a6</w:t>
            </w:r>
          </w:p>
        </w:tc>
        <w:tc>
          <w:tcPr>
            <w:tcW w:w="0" w:type="auto"/>
            <w:shd w:val="clear" w:color="auto" w:fill="auto"/>
          </w:tcPr>
          <w:p w:rsidR="00B95EA6" w:rsidRDefault="00B95EA6">
            <w:pPr>
              <w:rPr>
                <w:lang w:val="en-GB"/>
              </w:rPr>
            </w:pPr>
            <w:r>
              <w:rPr>
                <w:lang w:val="en-GB"/>
              </w:rPr>
              <w:t>Spectrum-sharing within a common frequency band between bidirectional wireless broadband use for wide-area use (uplink and downlink), on the one hand, and unidirectional television broadcasting or wireless audio PMSE use, on the other, is technically problematic where their coverage areas overlap or are close.</w:t>
            </w:r>
          </w:p>
        </w:tc>
        <w:tc>
          <w:tcPr>
            <w:tcW w:w="0" w:type="auto"/>
            <w:shd w:val="clear" w:color="auto" w:fill="auto"/>
          </w:tcPr>
          <w:p w:rsidR="00B95EA6" w:rsidRDefault="00B95EA6">
            <w:pPr>
              <w:rPr>
                <w:lang w:val="cs-CZ"/>
              </w:rPr>
            </w:pPr>
            <w:proofErr w:type="spellStart"/>
            <w:r>
              <w:rPr>
                <w:lang w:val="cs-CZ"/>
              </w:rPr>
              <w:t>spectrum-sharing</w:t>
            </w:r>
            <w:proofErr w:type="spellEnd"/>
            <w:r>
              <w:rPr>
                <w:lang w:val="cs-CZ"/>
              </w:rPr>
              <w:t xml:space="preserve"> ve společném kmitočtové pásmo mezi bezdrátovými širokopásmovými obousměrných </w:t>
            </w:r>
            <w:proofErr w:type="spellStart"/>
            <w:r>
              <w:rPr>
                <w:lang w:val="cs-CZ"/>
              </w:rPr>
              <w:t>wide</w:t>
            </w:r>
            <w:proofErr w:type="spellEnd"/>
            <w:r>
              <w:rPr>
                <w:lang w:val="cs-CZ"/>
              </w:rPr>
              <w:t>-area použití (</w:t>
            </w:r>
            <w:proofErr w:type="spellStart"/>
            <w:r>
              <w:rPr>
                <w:lang w:val="cs-CZ"/>
              </w:rPr>
              <w:t>uplink</w:t>
            </w:r>
            <w:proofErr w:type="spellEnd"/>
            <w:r>
              <w:rPr>
                <w:lang w:val="cs-CZ"/>
              </w:rPr>
              <w:t xml:space="preserve"> i </w:t>
            </w:r>
            <w:proofErr w:type="spellStart"/>
            <w:r>
              <w:rPr>
                <w:lang w:val="cs-CZ"/>
              </w:rPr>
              <w:t>downlink</w:t>
            </w:r>
            <w:proofErr w:type="spellEnd"/>
            <w:r>
              <w:rPr>
                <w:lang w:val="cs-CZ"/>
              </w:rPr>
              <w:t xml:space="preserve">), na straně jedné a </w:t>
            </w:r>
            <w:proofErr w:type="spellStart"/>
            <w:r>
              <w:rPr>
                <w:lang w:val="cs-CZ"/>
              </w:rPr>
              <w:t>unidirectional</w:t>
            </w:r>
            <w:proofErr w:type="spellEnd"/>
            <w:r>
              <w:rPr>
                <w:lang w:val="cs-CZ"/>
              </w:rPr>
              <w:t xml:space="preserve"> televizního vysílání a využívání bezdrátových zvukových zařízení PMSE, a na druhé straně, pokud jsou technicky problematické nebo jejich oblasti působnosti překrývají ukončena.</w:t>
            </w:r>
          </w:p>
        </w:tc>
      </w:tr>
      <w:tr w:rsidR="00B95EA6" w:rsidTr="00A26A8C">
        <w:tc>
          <w:tcPr>
            <w:tcW w:w="0" w:type="auto"/>
            <w:shd w:val="clear" w:color="auto" w:fill="auto"/>
          </w:tcPr>
          <w:p w:rsidR="00B95EA6" w:rsidRDefault="00B95EA6">
            <w:pPr>
              <w:rPr>
                <w:lang w:val="en-GB"/>
              </w:rPr>
            </w:pPr>
            <w:r>
              <w:rPr>
                <w:rStyle w:val="SegmentID"/>
                <w:lang w:val="en-GB"/>
              </w:rPr>
              <w:t>52</w:t>
            </w:r>
            <w:r>
              <w:rPr>
                <w:rStyle w:val="TransUnitID"/>
                <w:lang w:val="en-GB"/>
              </w:rPr>
              <w:t>c9e43272-1789-4e64-bd17-c3584f7b90a6</w:t>
            </w:r>
          </w:p>
        </w:tc>
        <w:tc>
          <w:tcPr>
            <w:tcW w:w="0" w:type="auto"/>
            <w:shd w:val="clear" w:color="auto" w:fill="auto"/>
          </w:tcPr>
          <w:p w:rsidR="00B95EA6" w:rsidRDefault="00B95EA6">
            <w:pPr>
              <w:rPr>
                <w:lang w:val="en-GB"/>
              </w:rPr>
            </w:pPr>
            <w:r>
              <w:rPr>
                <w:lang w:val="en-GB"/>
              </w:rPr>
              <w:t>This means that repurposing the 700 MHz frequency band for bidirectional terrestrial wireless broadband electronic communications services would deprive DTT and wireless audio PMSE users of part of their spectrum resources.</w:t>
            </w:r>
          </w:p>
        </w:tc>
        <w:tc>
          <w:tcPr>
            <w:tcW w:w="0" w:type="auto"/>
            <w:shd w:val="clear" w:color="auto" w:fill="auto"/>
          </w:tcPr>
          <w:p w:rsidR="00B95EA6" w:rsidRDefault="00B95EA6">
            <w:pPr>
              <w:rPr>
                <w:lang w:val="cs-CZ"/>
              </w:rPr>
            </w:pPr>
            <w:r>
              <w:rPr>
                <w:lang w:val="cs-CZ"/>
              </w:rPr>
              <w:t xml:space="preserve">To znamená, že vyčlenění kmitočtového pásma 700 MHz </w:t>
            </w:r>
            <w:proofErr w:type="gramStart"/>
            <w:r>
              <w:rPr>
                <w:lang w:val="cs-CZ"/>
              </w:rPr>
              <w:t>prosadí</w:t>
            </w:r>
            <w:proofErr w:type="gramEnd"/>
            <w:r>
              <w:rPr>
                <w:lang w:val="cs-CZ"/>
              </w:rPr>
              <w:t xml:space="preserve"> obousměrných zemských bezdrátových širokopásmových služeb elektronických komunikací </w:t>
            </w:r>
            <w:proofErr w:type="gramStart"/>
            <w:r>
              <w:rPr>
                <w:lang w:val="cs-CZ"/>
              </w:rPr>
              <w:t>by</w:t>
            </w:r>
            <w:proofErr w:type="gramEnd"/>
            <w:r>
              <w:rPr>
                <w:lang w:val="cs-CZ"/>
              </w:rPr>
              <w:t xml:space="preserve"> </w:t>
            </w:r>
            <w:proofErr w:type="spellStart"/>
            <w:r>
              <w:rPr>
                <w:lang w:val="cs-CZ"/>
              </w:rPr>
              <w:t>deprive</w:t>
            </w:r>
            <w:proofErr w:type="spellEnd"/>
            <w:r>
              <w:rPr>
                <w:lang w:val="cs-CZ"/>
              </w:rPr>
              <w:t xml:space="preserve"> DTT) a pro bezdrátová zvuková zařízení PMSE uživatelů spektra v rámci svých prostředků.</w:t>
            </w:r>
          </w:p>
        </w:tc>
      </w:tr>
      <w:tr w:rsidR="00B95EA6" w:rsidTr="00A26A8C">
        <w:tc>
          <w:tcPr>
            <w:tcW w:w="0" w:type="auto"/>
            <w:shd w:val="clear" w:color="auto" w:fill="auto"/>
          </w:tcPr>
          <w:p w:rsidR="00B95EA6" w:rsidRDefault="00B95EA6">
            <w:pPr>
              <w:rPr>
                <w:lang w:val="en-GB"/>
              </w:rPr>
            </w:pPr>
            <w:r>
              <w:rPr>
                <w:rStyle w:val="SegmentID"/>
                <w:lang w:val="en-GB"/>
              </w:rPr>
              <w:t>53</w:t>
            </w:r>
            <w:r>
              <w:rPr>
                <w:rStyle w:val="TransUnitID"/>
                <w:lang w:val="en-GB"/>
              </w:rPr>
              <w:t>c9e43272-1789-4e64-bd17-c3584f7b90a6</w:t>
            </w:r>
          </w:p>
        </w:tc>
        <w:tc>
          <w:tcPr>
            <w:tcW w:w="0" w:type="auto"/>
            <w:shd w:val="clear" w:color="auto" w:fill="auto"/>
          </w:tcPr>
          <w:p w:rsidR="00B95EA6" w:rsidRDefault="00B95EA6">
            <w:pPr>
              <w:rPr>
                <w:lang w:val="en-GB"/>
              </w:rPr>
            </w:pPr>
            <w:r>
              <w:rPr>
                <w:lang w:val="en-GB"/>
              </w:rPr>
              <w:t xml:space="preserve">The DTT and PMSE sectors therefore need long-term regulatory predictability with regard to the availability of sufficient spectrum, so that they can safeguard the sustainable provision and development of their services, in particular free-to-view television, while ensuring an appropriate environment for investments, so that Union and national </w:t>
            </w:r>
            <w:proofErr w:type="spellStart"/>
            <w:r>
              <w:rPr>
                <w:lang w:val="en-GB"/>
              </w:rPr>
              <w:t>audiovisual</w:t>
            </w:r>
            <w:proofErr w:type="spellEnd"/>
            <w:r>
              <w:rPr>
                <w:lang w:val="en-GB"/>
              </w:rPr>
              <w:t xml:space="preserve"> policy objectives such as social cohesion, media pluralism and cultural diversity are met.</w:t>
            </w:r>
          </w:p>
        </w:tc>
        <w:tc>
          <w:tcPr>
            <w:tcW w:w="0" w:type="auto"/>
            <w:shd w:val="clear" w:color="auto" w:fill="auto"/>
          </w:tcPr>
          <w:p w:rsidR="00B95EA6" w:rsidRDefault="00B95EA6">
            <w:pPr>
              <w:rPr>
                <w:lang w:val="cs-CZ"/>
              </w:rPr>
            </w:pPr>
            <w:r>
              <w:rPr>
                <w:lang w:val="cs-CZ"/>
              </w:rPr>
              <w:t>DTT, a proto je dlouhodobé REGULACI ODVĚTVÍ PMSE předvídatelnosti ve vztahu k dispozici dostatečné spektrum tak, aby mohly zajištění udržitelného rozvoje a poskytování služeb, zejména jejich free-to-</w:t>
            </w:r>
            <w:proofErr w:type="spellStart"/>
            <w:r>
              <w:rPr>
                <w:lang w:val="cs-CZ"/>
              </w:rPr>
              <w:t>view</w:t>
            </w:r>
            <w:proofErr w:type="spellEnd"/>
            <w:r>
              <w:rPr>
                <w:lang w:val="cs-CZ"/>
              </w:rPr>
              <w:t xml:space="preserve"> televizního vysílání, a současně zajistit odpovídající ochranu životního prostředí pro investice, aby audiovizuální unijních a vnitrostátních cílů politiky, jako jsou sociální soudržnosti, plurality médií a kulturní rozmanitost.</w:t>
            </w:r>
          </w:p>
        </w:tc>
      </w:tr>
      <w:tr w:rsidR="00B95EA6" w:rsidTr="00A26A8C">
        <w:tc>
          <w:tcPr>
            <w:tcW w:w="0" w:type="auto"/>
            <w:shd w:val="clear" w:color="auto" w:fill="auto"/>
          </w:tcPr>
          <w:p w:rsidR="00B95EA6" w:rsidRDefault="00B95EA6">
            <w:pPr>
              <w:rPr>
                <w:lang w:val="en-GB"/>
              </w:rPr>
            </w:pPr>
            <w:r>
              <w:rPr>
                <w:rStyle w:val="SegmentID"/>
                <w:lang w:val="en-GB"/>
              </w:rPr>
              <w:t>54</w:t>
            </w:r>
            <w:r>
              <w:rPr>
                <w:rStyle w:val="TransUnitID"/>
                <w:lang w:val="en-GB"/>
              </w:rPr>
              <w:t>c9e43272-1789-4e64-bd17-c3584f7b90a6</w:t>
            </w:r>
          </w:p>
        </w:tc>
        <w:tc>
          <w:tcPr>
            <w:tcW w:w="0" w:type="auto"/>
            <w:shd w:val="clear" w:color="auto" w:fill="auto"/>
          </w:tcPr>
          <w:p w:rsidR="00B95EA6" w:rsidRDefault="00B95EA6">
            <w:pPr>
              <w:rPr>
                <w:lang w:val="en-GB"/>
              </w:rPr>
            </w:pPr>
            <w:r>
              <w:rPr>
                <w:lang w:val="en-GB"/>
              </w:rPr>
              <w:t>It is possible that measures will be needed at Union and national level to ensure additional spectrum resource for wireless audio PMSE use outside the 470-790 MHz frequency band.</w:t>
            </w:r>
          </w:p>
        </w:tc>
        <w:tc>
          <w:tcPr>
            <w:tcW w:w="0" w:type="auto"/>
            <w:shd w:val="clear" w:color="auto" w:fill="auto"/>
          </w:tcPr>
          <w:p w:rsidR="00B95EA6" w:rsidRDefault="00B95EA6">
            <w:pPr>
              <w:rPr>
                <w:lang w:val="cs-CZ"/>
              </w:rPr>
            </w:pPr>
            <w:r>
              <w:rPr>
                <w:lang w:val="cs-CZ"/>
              </w:rPr>
              <w:t>Je možné, že opatření je nutné na úrovni Unie a na vnitrostátní úrovni s cílem zajistit další využívání spektra pro bezdrátová zvuková zařízení PMSE mimo využívání kmitočtového pásma 470–790 MHz.</w:t>
            </w:r>
          </w:p>
        </w:tc>
      </w:tr>
      <w:tr w:rsidR="00B95EA6" w:rsidTr="00A26A8C">
        <w:tc>
          <w:tcPr>
            <w:tcW w:w="0" w:type="auto"/>
            <w:shd w:val="clear" w:color="auto" w:fill="auto"/>
          </w:tcPr>
          <w:p w:rsidR="00B95EA6" w:rsidRDefault="00B95EA6">
            <w:pPr>
              <w:rPr>
                <w:lang w:val="en-GB"/>
              </w:rPr>
            </w:pPr>
            <w:r>
              <w:rPr>
                <w:rStyle w:val="SegmentID"/>
                <w:lang w:val="en-GB"/>
              </w:rPr>
              <w:t>55</w:t>
            </w:r>
            <w:r>
              <w:rPr>
                <w:rStyle w:val="TransUnitID"/>
                <w:lang w:val="en-GB"/>
              </w:rPr>
              <w:t>59bc7df5-a75b-40c1-8fed-0b594ce9bd3a</w:t>
            </w:r>
          </w:p>
        </w:tc>
        <w:tc>
          <w:tcPr>
            <w:tcW w:w="0" w:type="auto"/>
            <w:shd w:val="clear" w:color="auto" w:fill="auto"/>
          </w:tcPr>
          <w:p w:rsidR="00B95EA6" w:rsidRDefault="00B95EA6">
            <w:pPr>
              <w:rPr>
                <w:lang w:val="en-GB"/>
              </w:rPr>
            </w:pPr>
            <w:r>
              <w:rPr>
                <w:lang w:val="en-GB"/>
              </w:rPr>
              <w:t>(12)</w:t>
            </w:r>
          </w:p>
        </w:tc>
        <w:tc>
          <w:tcPr>
            <w:tcW w:w="0" w:type="auto"/>
            <w:shd w:val="clear" w:color="auto" w:fill="auto"/>
          </w:tcPr>
          <w:p w:rsidR="00B95EA6" w:rsidRDefault="00B95EA6">
            <w:pPr>
              <w:rPr>
                <w:lang w:val="cs-CZ"/>
              </w:rPr>
            </w:pPr>
            <w:r>
              <w:rPr>
                <w:lang w:val="cs-CZ"/>
              </w:rPr>
              <w:t>(12)</w:t>
            </w:r>
          </w:p>
        </w:tc>
      </w:tr>
      <w:tr w:rsidR="00B95EA6" w:rsidTr="00A26A8C">
        <w:tc>
          <w:tcPr>
            <w:tcW w:w="0" w:type="auto"/>
            <w:shd w:val="clear" w:color="auto" w:fill="auto"/>
          </w:tcPr>
          <w:p w:rsidR="00B95EA6" w:rsidRDefault="00B95EA6">
            <w:pPr>
              <w:rPr>
                <w:lang w:val="en-GB"/>
              </w:rPr>
            </w:pPr>
            <w:r>
              <w:rPr>
                <w:rStyle w:val="SegmentID"/>
                <w:lang w:val="en-GB"/>
              </w:rPr>
              <w:t>56</w:t>
            </w:r>
            <w:r>
              <w:rPr>
                <w:rStyle w:val="TransUnitID"/>
                <w:lang w:val="en-GB"/>
              </w:rPr>
              <w:t>aaefc183-f784-4d80-9cd8-43b1777b1e87</w:t>
            </w:r>
          </w:p>
        </w:tc>
        <w:tc>
          <w:tcPr>
            <w:tcW w:w="0" w:type="auto"/>
            <w:shd w:val="clear" w:color="auto" w:fill="auto"/>
          </w:tcPr>
          <w:p w:rsidR="00B95EA6" w:rsidRDefault="00B95EA6">
            <w:pPr>
              <w:rPr>
                <w:lang w:val="en-GB"/>
              </w:rPr>
            </w:pPr>
            <w:r>
              <w:rPr>
                <w:lang w:val="en-GB"/>
              </w:rPr>
              <w:t xml:space="preserve">In his report to the Commission, Pascal </w:t>
            </w:r>
            <w:proofErr w:type="spellStart"/>
            <w:r>
              <w:rPr>
                <w:lang w:val="en-GB"/>
              </w:rPr>
              <w:t>Lamy</w:t>
            </w:r>
            <w:proofErr w:type="spellEnd"/>
            <w:r>
              <w:rPr>
                <w:lang w:val="en-GB"/>
              </w:rPr>
              <w:t>, the Chairman of the high-</w:t>
            </w:r>
            <w:r>
              <w:rPr>
                <w:lang w:val="en-GB"/>
              </w:rPr>
              <w:lastRenderedPageBreak/>
              <w:t>level group on the future use of the UHF band (470-790 MHz), recommended that the 700 MHz frequency band be made available for wireless broadband by 2020 (+/- two years).</w:t>
            </w:r>
          </w:p>
        </w:tc>
        <w:tc>
          <w:tcPr>
            <w:tcW w:w="0" w:type="auto"/>
            <w:shd w:val="clear" w:color="auto" w:fill="auto"/>
          </w:tcPr>
          <w:p w:rsidR="00B95EA6" w:rsidRDefault="00B95EA6">
            <w:pPr>
              <w:rPr>
                <w:lang w:val="cs-CZ"/>
              </w:rPr>
            </w:pPr>
            <w:r>
              <w:rPr>
                <w:lang w:val="cs-CZ"/>
              </w:rPr>
              <w:lastRenderedPageBreak/>
              <w:t xml:space="preserve">Ve své zprávě má Komise Pascal lamy, předseda skupiny na vysoké </w:t>
            </w:r>
            <w:r>
              <w:rPr>
                <w:lang w:val="cs-CZ"/>
              </w:rPr>
              <w:lastRenderedPageBreak/>
              <w:t xml:space="preserve">úrovni, pokud jde o použití </w:t>
            </w:r>
            <w:proofErr w:type="spellStart"/>
            <w:r>
              <w:rPr>
                <w:lang w:val="cs-CZ"/>
              </w:rPr>
              <w:t>uhf</w:t>
            </w:r>
            <w:proofErr w:type="spellEnd"/>
            <w:r>
              <w:rPr>
                <w:lang w:val="cs-CZ"/>
              </w:rPr>
              <w:t xml:space="preserve"> </w:t>
            </w:r>
            <w:proofErr w:type="gramStart"/>
            <w:r>
              <w:rPr>
                <w:lang w:val="cs-CZ"/>
              </w:rPr>
              <w:t>470-790</w:t>
            </w:r>
            <w:proofErr w:type="gramEnd"/>
            <w:r>
              <w:rPr>
                <w:lang w:val="cs-CZ"/>
              </w:rPr>
              <w:t xml:space="preserve"> MHz (dále jen „pásmo), aby doporučil kmitočtového pásma 700 MHz pro bezdrátové širokopásmové připojení se do roku 2020 (+/–dva roky.</w:t>
            </w:r>
          </w:p>
        </w:tc>
      </w:tr>
      <w:tr w:rsidR="00B95EA6" w:rsidTr="00A26A8C">
        <w:tc>
          <w:tcPr>
            <w:tcW w:w="0" w:type="auto"/>
            <w:shd w:val="clear" w:color="auto" w:fill="auto"/>
          </w:tcPr>
          <w:p w:rsidR="00B95EA6" w:rsidRDefault="00B95EA6">
            <w:pPr>
              <w:rPr>
                <w:lang w:val="en-GB"/>
              </w:rPr>
            </w:pPr>
            <w:r>
              <w:rPr>
                <w:rStyle w:val="SegmentID"/>
                <w:lang w:val="en-GB"/>
              </w:rPr>
              <w:lastRenderedPageBreak/>
              <w:t>57</w:t>
            </w:r>
            <w:r>
              <w:rPr>
                <w:rStyle w:val="TransUnitID"/>
                <w:lang w:val="en-GB"/>
              </w:rPr>
              <w:t>aaefc183-f784-4d80-9cd8-43b1777b1e87</w:t>
            </w:r>
          </w:p>
        </w:tc>
        <w:tc>
          <w:tcPr>
            <w:tcW w:w="0" w:type="auto"/>
            <w:shd w:val="clear" w:color="auto" w:fill="auto"/>
          </w:tcPr>
          <w:p w:rsidR="00B95EA6" w:rsidRDefault="00B95EA6">
            <w:pPr>
              <w:rPr>
                <w:lang w:val="en-GB"/>
              </w:rPr>
            </w:pPr>
            <w:r>
              <w:rPr>
                <w:lang w:val="en-GB"/>
              </w:rPr>
              <w:t>Such a release would help achieve the goal of long-term regulatory predictability for DTT by making the sub-700 MHz frequency band available until 2030, although this would have to be reviewed by 2025.</w:t>
            </w:r>
          </w:p>
        </w:tc>
        <w:tc>
          <w:tcPr>
            <w:tcW w:w="0" w:type="auto"/>
            <w:shd w:val="clear" w:color="auto" w:fill="auto"/>
          </w:tcPr>
          <w:p w:rsidR="00B95EA6" w:rsidRDefault="00B95EA6">
            <w:pPr>
              <w:rPr>
                <w:lang w:val="cs-CZ"/>
              </w:rPr>
            </w:pPr>
            <w:r>
              <w:rPr>
                <w:lang w:val="cs-CZ"/>
              </w:rPr>
              <w:t>takové zboží, které by přispěly k dosažení cíle dlouhodobého předvídatelnosti na DTT v oblasti sub-700 MHz, který je k dispozici, až do roku 2030, by měly být přezkoumány do roku 2025.</w:t>
            </w:r>
          </w:p>
        </w:tc>
      </w:tr>
      <w:tr w:rsidR="00B95EA6" w:rsidTr="00A26A8C">
        <w:tc>
          <w:tcPr>
            <w:tcW w:w="0" w:type="auto"/>
            <w:shd w:val="clear" w:color="auto" w:fill="auto"/>
          </w:tcPr>
          <w:p w:rsidR="00B95EA6" w:rsidRDefault="00B95EA6">
            <w:pPr>
              <w:rPr>
                <w:lang w:val="en-GB"/>
              </w:rPr>
            </w:pPr>
            <w:r>
              <w:rPr>
                <w:rStyle w:val="SegmentID"/>
                <w:lang w:val="en-GB"/>
              </w:rPr>
              <w:t>58</w:t>
            </w:r>
            <w:r>
              <w:rPr>
                <w:rStyle w:val="TransUnitID"/>
                <w:lang w:val="en-GB"/>
              </w:rPr>
              <w:t>2a44543a-005c-4c83-aada-f8d855b2af0e</w:t>
            </w:r>
          </w:p>
        </w:tc>
        <w:tc>
          <w:tcPr>
            <w:tcW w:w="0" w:type="auto"/>
            <w:shd w:val="clear" w:color="auto" w:fill="auto"/>
          </w:tcPr>
          <w:p w:rsidR="00B95EA6" w:rsidRDefault="00B95EA6">
            <w:pPr>
              <w:rPr>
                <w:lang w:val="en-GB"/>
              </w:rPr>
            </w:pPr>
            <w:r>
              <w:rPr>
                <w:lang w:val="en-GB"/>
              </w:rPr>
              <w:t>(13)</w:t>
            </w:r>
          </w:p>
        </w:tc>
        <w:tc>
          <w:tcPr>
            <w:tcW w:w="0" w:type="auto"/>
            <w:shd w:val="clear" w:color="auto" w:fill="auto"/>
          </w:tcPr>
          <w:p w:rsidR="00B95EA6" w:rsidRDefault="00B95EA6">
            <w:pPr>
              <w:rPr>
                <w:lang w:val="cs-CZ"/>
              </w:rPr>
            </w:pPr>
            <w:r>
              <w:rPr>
                <w:lang w:val="cs-CZ"/>
              </w:rPr>
              <w:t>(13)</w:t>
            </w:r>
          </w:p>
        </w:tc>
      </w:tr>
      <w:tr w:rsidR="00B95EA6" w:rsidTr="00A26A8C">
        <w:tc>
          <w:tcPr>
            <w:tcW w:w="0" w:type="auto"/>
            <w:shd w:val="clear" w:color="auto" w:fill="auto"/>
          </w:tcPr>
          <w:p w:rsidR="00B95EA6" w:rsidRDefault="00B95EA6">
            <w:pPr>
              <w:rPr>
                <w:lang w:val="en-GB"/>
              </w:rPr>
            </w:pPr>
            <w:r>
              <w:rPr>
                <w:rStyle w:val="SegmentID"/>
                <w:lang w:val="en-GB"/>
              </w:rPr>
              <w:t>59</w:t>
            </w:r>
            <w:r>
              <w:rPr>
                <w:rStyle w:val="TransUnitID"/>
                <w:lang w:val="en-GB"/>
              </w:rPr>
              <w:t>06d0c250-2d5c-42e2-aaae-bf2e4f1cd21a</w:t>
            </w:r>
          </w:p>
        </w:tc>
        <w:tc>
          <w:tcPr>
            <w:tcW w:w="0" w:type="auto"/>
            <w:shd w:val="clear" w:color="auto" w:fill="auto"/>
          </w:tcPr>
          <w:p w:rsidR="00B95EA6" w:rsidRDefault="00B95EA6">
            <w:pPr>
              <w:rPr>
                <w:lang w:val="en-GB"/>
              </w:rPr>
            </w:pPr>
            <w:r>
              <w:rPr>
                <w:lang w:val="en-GB"/>
              </w:rPr>
              <w:t>The Radio Spectrum Policy Group recommended in its opinion on a long-term strategy on the future use of the UHF band (470-790 MHz) in the European Union of 19 February 2015 that a coordinated approach be adopted across the Union to make the 700 MHz frequency band available for effective use for wireless broadband electronic communications services by the end of 2020, noting that Member States are able to decide on the basis of duly justified reasons to delay the availability of the band for up to two years.</w:t>
            </w:r>
          </w:p>
        </w:tc>
        <w:tc>
          <w:tcPr>
            <w:tcW w:w="0" w:type="auto"/>
            <w:shd w:val="clear" w:color="auto" w:fill="auto"/>
          </w:tcPr>
          <w:p w:rsidR="00B95EA6" w:rsidRDefault="00B95EA6">
            <w:pPr>
              <w:rPr>
                <w:lang w:val="cs-CZ"/>
              </w:rPr>
            </w:pPr>
            <w:r>
              <w:rPr>
                <w:lang w:val="cs-CZ"/>
              </w:rPr>
              <w:t xml:space="preserve">Skupina pro politiku rádiového spektra doporučené ve svém stanovisku k dlouhodobé strategii využívání v budoucnu </w:t>
            </w:r>
            <w:proofErr w:type="spellStart"/>
            <w:r>
              <w:rPr>
                <w:lang w:val="cs-CZ"/>
              </w:rPr>
              <w:t>uhf</w:t>
            </w:r>
            <w:proofErr w:type="spellEnd"/>
            <w:r>
              <w:rPr>
                <w:lang w:val="cs-CZ"/>
              </w:rPr>
              <w:t xml:space="preserve"> </w:t>
            </w:r>
            <w:proofErr w:type="gramStart"/>
            <w:r>
              <w:rPr>
                <w:lang w:val="cs-CZ"/>
              </w:rPr>
              <w:t>470-790</w:t>
            </w:r>
            <w:proofErr w:type="gramEnd"/>
            <w:r>
              <w:rPr>
                <w:lang w:val="cs-CZ"/>
              </w:rPr>
              <w:t xml:space="preserve"> MHz (dále jen „pásmo) Evropské unie ze dne 19. února 2015, kterým se přijímá, koordinovaný přístup v celé Unii na dostupné kmitočtové pásmo 700 MHz pro účinné využívání pro bezdrátové širokopásmové služby elektronických komunikací, do roku 2020, poukazuje na to, že členské státy se mohou rozhodnout, že v řádně odůvodněných případech má k dispozici pásku odkladu v délce dvou let.</w:t>
            </w:r>
          </w:p>
        </w:tc>
      </w:tr>
      <w:tr w:rsidR="00B95EA6" w:rsidTr="00A26A8C">
        <w:tc>
          <w:tcPr>
            <w:tcW w:w="0" w:type="auto"/>
            <w:shd w:val="clear" w:color="auto" w:fill="auto"/>
          </w:tcPr>
          <w:p w:rsidR="00B95EA6" w:rsidRDefault="00B95EA6">
            <w:pPr>
              <w:rPr>
                <w:lang w:val="en-GB"/>
              </w:rPr>
            </w:pPr>
            <w:r>
              <w:rPr>
                <w:rStyle w:val="SegmentID"/>
                <w:lang w:val="en-GB"/>
              </w:rPr>
              <w:t>60</w:t>
            </w:r>
            <w:r>
              <w:rPr>
                <w:rStyle w:val="TransUnitID"/>
                <w:lang w:val="en-GB"/>
              </w:rPr>
              <w:t>06d0c250-2d5c-42e2-aaae-bf2e4f1cd21a</w:t>
            </w:r>
          </w:p>
        </w:tc>
        <w:tc>
          <w:tcPr>
            <w:tcW w:w="0" w:type="auto"/>
            <w:shd w:val="clear" w:color="auto" w:fill="auto"/>
          </w:tcPr>
          <w:p w:rsidR="00B95EA6" w:rsidRDefault="00B95EA6">
            <w:pPr>
              <w:rPr>
                <w:lang w:val="en-GB"/>
              </w:rPr>
            </w:pPr>
            <w:r>
              <w:rPr>
                <w:lang w:val="en-GB"/>
              </w:rPr>
              <w:t>In addition, the availability of the sub-700 MHz frequency band for the provision of broadcasting services should be ensured until 2030.</w:t>
            </w:r>
          </w:p>
        </w:tc>
        <w:tc>
          <w:tcPr>
            <w:tcW w:w="0" w:type="auto"/>
            <w:shd w:val="clear" w:color="auto" w:fill="auto"/>
          </w:tcPr>
          <w:p w:rsidR="00B95EA6" w:rsidRDefault="00B95EA6">
            <w:pPr>
              <w:rPr>
                <w:lang w:val="cs-CZ"/>
              </w:rPr>
            </w:pPr>
            <w:r>
              <w:rPr>
                <w:lang w:val="cs-CZ"/>
              </w:rPr>
              <w:t>Kromě toho dostupnost sub-700 MHz pro poskytování vysílacích služeb by mělo být zajištěno do roku 2030.</w:t>
            </w:r>
          </w:p>
        </w:tc>
      </w:tr>
      <w:tr w:rsidR="00B95EA6" w:rsidTr="00A26A8C">
        <w:tc>
          <w:tcPr>
            <w:tcW w:w="0" w:type="auto"/>
            <w:shd w:val="clear" w:color="auto" w:fill="auto"/>
          </w:tcPr>
          <w:p w:rsidR="00B95EA6" w:rsidRDefault="00B95EA6">
            <w:pPr>
              <w:rPr>
                <w:lang w:val="en-GB"/>
              </w:rPr>
            </w:pPr>
            <w:r>
              <w:rPr>
                <w:rStyle w:val="SegmentID"/>
                <w:lang w:val="en-GB"/>
              </w:rPr>
              <w:t>61</w:t>
            </w:r>
            <w:r>
              <w:rPr>
                <w:rStyle w:val="TransUnitID"/>
                <w:lang w:val="en-GB"/>
              </w:rPr>
              <w:t>41d4dd85-de15-459a-bc59-1e6b0675523e</w:t>
            </w:r>
          </w:p>
        </w:tc>
        <w:tc>
          <w:tcPr>
            <w:tcW w:w="0" w:type="auto"/>
            <w:shd w:val="clear" w:color="auto" w:fill="auto"/>
          </w:tcPr>
          <w:p w:rsidR="00B95EA6" w:rsidRDefault="00B95EA6">
            <w:pPr>
              <w:rPr>
                <w:lang w:val="en-GB"/>
              </w:rPr>
            </w:pPr>
            <w:r>
              <w:rPr>
                <w:lang w:val="en-GB"/>
              </w:rPr>
              <w:t>(14)</w:t>
            </w:r>
          </w:p>
        </w:tc>
        <w:tc>
          <w:tcPr>
            <w:tcW w:w="0" w:type="auto"/>
            <w:shd w:val="clear" w:color="auto" w:fill="auto"/>
          </w:tcPr>
          <w:p w:rsidR="00B95EA6" w:rsidRDefault="00B95EA6">
            <w:pPr>
              <w:rPr>
                <w:lang w:val="cs-CZ"/>
              </w:rPr>
            </w:pPr>
            <w:r>
              <w:rPr>
                <w:lang w:val="cs-CZ"/>
              </w:rPr>
              <w:t>(14)</w:t>
            </w:r>
          </w:p>
        </w:tc>
      </w:tr>
      <w:tr w:rsidR="00B95EA6" w:rsidTr="00A26A8C">
        <w:tc>
          <w:tcPr>
            <w:tcW w:w="0" w:type="auto"/>
            <w:shd w:val="clear" w:color="auto" w:fill="auto"/>
          </w:tcPr>
          <w:p w:rsidR="00B95EA6" w:rsidRDefault="00B95EA6">
            <w:pPr>
              <w:rPr>
                <w:lang w:val="en-GB"/>
              </w:rPr>
            </w:pPr>
            <w:r>
              <w:rPr>
                <w:rStyle w:val="SegmentID"/>
                <w:lang w:val="en-GB"/>
              </w:rPr>
              <w:t>62</w:t>
            </w:r>
            <w:r>
              <w:rPr>
                <w:rStyle w:val="TransUnitID"/>
                <w:lang w:val="en-GB"/>
              </w:rPr>
              <w:t>a9f75740-7868-4f80-b118-7b28f1e935ed</w:t>
            </w:r>
          </w:p>
        </w:tc>
        <w:tc>
          <w:tcPr>
            <w:tcW w:w="0" w:type="auto"/>
            <w:shd w:val="clear" w:color="auto" w:fill="auto"/>
          </w:tcPr>
          <w:p w:rsidR="00B95EA6" w:rsidRDefault="00B95EA6">
            <w:pPr>
              <w:rPr>
                <w:lang w:val="en-GB"/>
              </w:rPr>
            </w:pPr>
            <w:r>
              <w:rPr>
                <w:lang w:val="en-GB"/>
              </w:rPr>
              <w:t>Some Member States have already launched or completed a national process to authorise the use of the 700 MHz frequency band for bidirectional terrestrial wireless broadband electronic communications services.</w:t>
            </w:r>
          </w:p>
        </w:tc>
        <w:tc>
          <w:tcPr>
            <w:tcW w:w="0" w:type="auto"/>
            <w:shd w:val="clear" w:color="auto" w:fill="auto"/>
          </w:tcPr>
          <w:p w:rsidR="00B95EA6" w:rsidRDefault="00B95EA6">
            <w:pPr>
              <w:rPr>
                <w:lang w:val="cs-CZ"/>
              </w:rPr>
            </w:pPr>
            <w:r>
              <w:rPr>
                <w:lang w:val="cs-CZ"/>
              </w:rPr>
              <w:t>Některé členské státy, které již byly ukončeny, nebo s vnitrostátním procesem povolit použití obousměrných kmitočtové pásmo 700 MHz pro zemské bezdrátové širokopásmové služby elektronických komunikací.</w:t>
            </w:r>
          </w:p>
        </w:tc>
      </w:tr>
      <w:tr w:rsidR="00B95EA6" w:rsidTr="00A26A8C">
        <w:tc>
          <w:tcPr>
            <w:tcW w:w="0" w:type="auto"/>
            <w:shd w:val="clear" w:color="auto" w:fill="auto"/>
          </w:tcPr>
          <w:p w:rsidR="00B95EA6" w:rsidRDefault="00B95EA6">
            <w:pPr>
              <w:rPr>
                <w:lang w:val="en-GB"/>
              </w:rPr>
            </w:pPr>
            <w:r>
              <w:rPr>
                <w:rStyle w:val="SegmentID"/>
                <w:lang w:val="en-GB"/>
              </w:rPr>
              <w:t>63</w:t>
            </w:r>
            <w:r>
              <w:rPr>
                <w:rStyle w:val="TransUnitID"/>
                <w:lang w:val="en-GB"/>
              </w:rPr>
              <w:t>a9f75740-7868-4f80-b118-7b28f1e935ed</w:t>
            </w:r>
          </w:p>
        </w:tc>
        <w:tc>
          <w:tcPr>
            <w:tcW w:w="0" w:type="auto"/>
            <w:shd w:val="clear" w:color="auto" w:fill="auto"/>
          </w:tcPr>
          <w:p w:rsidR="00B95EA6" w:rsidRDefault="00B95EA6">
            <w:pPr>
              <w:rPr>
                <w:lang w:val="en-GB"/>
              </w:rPr>
            </w:pPr>
            <w:r>
              <w:rPr>
                <w:lang w:val="en-GB"/>
              </w:rPr>
              <w:t>A coordinated approach is needed with regard to the future use of the 700 MHz frequency band, which should also provide regulatory predictability, balance Member State diversity with digital single market objectives and promote European leadership with regard to international technology developments.</w:t>
            </w:r>
          </w:p>
        </w:tc>
        <w:tc>
          <w:tcPr>
            <w:tcW w:w="0" w:type="auto"/>
            <w:shd w:val="clear" w:color="auto" w:fill="auto"/>
          </w:tcPr>
          <w:p w:rsidR="00B95EA6" w:rsidRDefault="00B95EA6">
            <w:pPr>
              <w:rPr>
                <w:lang w:val="cs-CZ"/>
              </w:rPr>
            </w:pPr>
            <w:r>
              <w:rPr>
                <w:lang w:val="cs-CZ"/>
              </w:rPr>
              <w:t>Koordinovaný přístup, je třeba s ohledem na budoucí využívání kmitočtového pásma 700 MHz, což by mělo rovněž zajistit předvídatelnost v oblasti platební členského státu jednotný digitální trh různorodost, s cílem podporovat evropské a mezinárodní postavení s ohledem na technologický vývoj.</w:t>
            </w:r>
          </w:p>
        </w:tc>
      </w:tr>
      <w:tr w:rsidR="00B95EA6" w:rsidTr="00A26A8C">
        <w:tc>
          <w:tcPr>
            <w:tcW w:w="0" w:type="auto"/>
            <w:shd w:val="clear" w:color="auto" w:fill="auto"/>
          </w:tcPr>
          <w:p w:rsidR="00B95EA6" w:rsidRDefault="00B95EA6">
            <w:pPr>
              <w:rPr>
                <w:lang w:val="en-GB"/>
              </w:rPr>
            </w:pPr>
            <w:r>
              <w:rPr>
                <w:rStyle w:val="SegmentID"/>
                <w:lang w:val="en-GB"/>
              </w:rPr>
              <w:t>64</w:t>
            </w:r>
            <w:r>
              <w:rPr>
                <w:rStyle w:val="TransUnitID"/>
                <w:lang w:val="en-GB"/>
              </w:rPr>
              <w:t>a9f75740-7868-4f80-b118-7b28f1e935ed</w:t>
            </w:r>
          </w:p>
        </w:tc>
        <w:tc>
          <w:tcPr>
            <w:tcW w:w="0" w:type="auto"/>
            <w:shd w:val="clear" w:color="auto" w:fill="auto"/>
          </w:tcPr>
          <w:p w:rsidR="00B95EA6" w:rsidRDefault="00B95EA6">
            <w:pPr>
              <w:rPr>
                <w:lang w:val="en-GB"/>
              </w:rPr>
            </w:pPr>
            <w:r>
              <w:rPr>
                <w:lang w:val="en-GB"/>
              </w:rPr>
              <w:t>In that context, Member States should be required to repurpose the 700 MHz frequency band in a timely manner in accordance with Union and national law.</w:t>
            </w:r>
          </w:p>
        </w:tc>
        <w:tc>
          <w:tcPr>
            <w:tcW w:w="0" w:type="auto"/>
            <w:shd w:val="clear" w:color="auto" w:fill="auto"/>
          </w:tcPr>
          <w:p w:rsidR="00B95EA6" w:rsidRDefault="00B95EA6">
            <w:pPr>
              <w:rPr>
                <w:lang w:val="cs-CZ"/>
              </w:rPr>
            </w:pPr>
            <w:r>
              <w:rPr>
                <w:lang w:val="cs-CZ"/>
              </w:rPr>
              <w:t xml:space="preserve">V této souvislosti by členské státy měly být požadováno, aby </w:t>
            </w:r>
            <w:proofErr w:type="spellStart"/>
            <w:r>
              <w:rPr>
                <w:lang w:val="cs-CZ"/>
              </w:rPr>
              <w:t>repurpose</w:t>
            </w:r>
            <w:proofErr w:type="spellEnd"/>
            <w:r>
              <w:rPr>
                <w:lang w:val="cs-CZ"/>
              </w:rPr>
              <w:t xml:space="preserve"> pásmo 700 MHz včas a v souladu s právními předpisy Unie a vnitrostátními právními předpisy.</w:t>
            </w:r>
          </w:p>
        </w:tc>
      </w:tr>
      <w:tr w:rsidR="00B95EA6" w:rsidTr="00A26A8C">
        <w:tc>
          <w:tcPr>
            <w:tcW w:w="0" w:type="auto"/>
            <w:shd w:val="clear" w:color="auto" w:fill="auto"/>
          </w:tcPr>
          <w:p w:rsidR="00B95EA6" w:rsidRDefault="00B95EA6">
            <w:pPr>
              <w:rPr>
                <w:lang w:val="en-GB"/>
              </w:rPr>
            </w:pPr>
            <w:r>
              <w:rPr>
                <w:rStyle w:val="SegmentID"/>
                <w:lang w:val="en-GB"/>
              </w:rPr>
              <w:t>65</w:t>
            </w:r>
            <w:r>
              <w:rPr>
                <w:rStyle w:val="TransUnitID"/>
                <w:lang w:val="en-GB"/>
              </w:rPr>
              <w:t>2a01b7ae-035f-4ff5-9be2-ada534bf3489</w:t>
            </w:r>
          </w:p>
        </w:tc>
        <w:tc>
          <w:tcPr>
            <w:tcW w:w="0" w:type="auto"/>
            <w:shd w:val="clear" w:color="auto" w:fill="auto"/>
          </w:tcPr>
          <w:p w:rsidR="00B95EA6" w:rsidRDefault="00B95EA6">
            <w:pPr>
              <w:rPr>
                <w:lang w:val="en-GB"/>
              </w:rPr>
            </w:pPr>
            <w:r>
              <w:rPr>
                <w:lang w:val="en-GB"/>
              </w:rPr>
              <w:t>(15)</w:t>
            </w:r>
          </w:p>
        </w:tc>
        <w:tc>
          <w:tcPr>
            <w:tcW w:w="0" w:type="auto"/>
            <w:shd w:val="clear" w:color="auto" w:fill="auto"/>
          </w:tcPr>
          <w:p w:rsidR="00B95EA6" w:rsidRDefault="00B95EA6">
            <w:pPr>
              <w:rPr>
                <w:lang w:val="cs-CZ"/>
              </w:rPr>
            </w:pPr>
            <w:r>
              <w:rPr>
                <w:lang w:val="cs-CZ"/>
              </w:rPr>
              <w:t>(15)</w:t>
            </w:r>
          </w:p>
        </w:tc>
      </w:tr>
      <w:tr w:rsidR="00B95EA6" w:rsidTr="00A26A8C">
        <w:tc>
          <w:tcPr>
            <w:tcW w:w="0" w:type="auto"/>
            <w:shd w:val="clear" w:color="auto" w:fill="auto"/>
          </w:tcPr>
          <w:p w:rsidR="00B95EA6" w:rsidRDefault="00B95EA6">
            <w:pPr>
              <w:rPr>
                <w:lang w:val="en-GB"/>
              </w:rPr>
            </w:pPr>
            <w:r>
              <w:rPr>
                <w:rStyle w:val="SegmentID"/>
                <w:lang w:val="en-GB"/>
              </w:rPr>
              <w:t>66</w:t>
            </w:r>
            <w:r>
              <w:rPr>
                <w:rStyle w:val="TransUnitID"/>
                <w:lang w:val="en-GB"/>
              </w:rPr>
              <w:t>b210f2f1-716e-459f-a92e-71b1fd28617a</w:t>
            </w:r>
          </w:p>
        </w:tc>
        <w:tc>
          <w:tcPr>
            <w:tcW w:w="0" w:type="auto"/>
            <w:shd w:val="clear" w:color="auto" w:fill="auto"/>
          </w:tcPr>
          <w:p w:rsidR="00B95EA6" w:rsidRDefault="00B95EA6">
            <w:pPr>
              <w:rPr>
                <w:lang w:val="en-GB"/>
              </w:rPr>
            </w:pPr>
            <w:r>
              <w:rPr>
                <w:lang w:val="en-GB"/>
              </w:rPr>
              <w:t>Member States should be able to delay, on the basis of duly justified reasons, allowing the use of the 700 MHz frequency band for terrestrial systems capable of providing wireless broadband electronic communications services beyond a common Union deadline of 2020 for up to two years.</w:t>
            </w:r>
          </w:p>
        </w:tc>
        <w:tc>
          <w:tcPr>
            <w:tcW w:w="0" w:type="auto"/>
            <w:shd w:val="clear" w:color="auto" w:fill="auto"/>
          </w:tcPr>
          <w:p w:rsidR="00B95EA6" w:rsidRDefault="00B95EA6">
            <w:pPr>
              <w:rPr>
                <w:lang w:val="cs-CZ"/>
              </w:rPr>
            </w:pPr>
            <w:r>
              <w:rPr>
                <w:lang w:val="cs-CZ"/>
              </w:rPr>
              <w:t>Členské státy by měly mít možnost, na základě řádně odůvodněných případech, využívání kmitočtového pásma 700 MHz pro zemské systémy k poskytování bezdrátových širokopásmových služeb elektronických komunikací nad rámec Unie pro společnou lhůtu pro období do dvou let.</w:t>
            </w:r>
          </w:p>
        </w:tc>
      </w:tr>
      <w:tr w:rsidR="00B95EA6" w:rsidTr="00A26A8C">
        <w:tc>
          <w:tcPr>
            <w:tcW w:w="0" w:type="auto"/>
            <w:shd w:val="clear" w:color="auto" w:fill="auto"/>
          </w:tcPr>
          <w:p w:rsidR="00B95EA6" w:rsidRDefault="00B95EA6">
            <w:pPr>
              <w:rPr>
                <w:lang w:val="en-GB"/>
              </w:rPr>
            </w:pPr>
            <w:r>
              <w:rPr>
                <w:rStyle w:val="SegmentID"/>
                <w:lang w:val="en-GB"/>
              </w:rPr>
              <w:t>67</w:t>
            </w:r>
            <w:r>
              <w:rPr>
                <w:rStyle w:val="TransUnitID"/>
                <w:lang w:val="en-GB"/>
              </w:rPr>
              <w:t>b210f2f1-716e-459f-a92e-71b1fd28617a</w:t>
            </w:r>
          </w:p>
        </w:tc>
        <w:tc>
          <w:tcPr>
            <w:tcW w:w="0" w:type="auto"/>
            <w:shd w:val="clear" w:color="auto" w:fill="auto"/>
          </w:tcPr>
          <w:p w:rsidR="00B95EA6" w:rsidRDefault="00B95EA6">
            <w:pPr>
              <w:rPr>
                <w:lang w:val="en-GB"/>
              </w:rPr>
            </w:pPr>
            <w:r>
              <w:rPr>
                <w:lang w:val="en-GB"/>
              </w:rPr>
              <w:t xml:space="preserve">The reasons for such a delay should be limited to unresolved cross-border coordination issues resulting in harmful interferences, the need to ensure, and the complexity of ensuring, the technical migration of a </w:t>
            </w:r>
            <w:r>
              <w:rPr>
                <w:lang w:val="en-GB"/>
              </w:rPr>
              <w:lastRenderedPageBreak/>
              <w:t>large amount of the population to advanced broadcasting standards, the financial costs of transition exceeding the expected revenue generated by award procedures and </w:t>
            </w:r>
            <w:r>
              <w:rPr>
                <w:rStyle w:val="Tag"/>
                <w:lang w:val="en-GB"/>
              </w:rPr>
              <w:t>&lt;188&gt;</w:t>
            </w:r>
            <w:r>
              <w:rPr>
                <w:lang w:val="en-GB"/>
              </w:rPr>
              <w:t>force majeure</w:t>
            </w:r>
            <w:r>
              <w:rPr>
                <w:rStyle w:val="Tag"/>
                <w:lang w:val="en-GB"/>
              </w:rPr>
              <w:t>&lt;/188&gt;</w:t>
            </w:r>
            <w:r>
              <w:rPr>
                <w:lang w:val="en-GB"/>
              </w:rPr>
              <w:t>.</w:t>
            </w:r>
          </w:p>
        </w:tc>
        <w:tc>
          <w:tcPr>
            <w:tcW w:w="0" w:type="auto"/>
            <w:shd w:val="clear" w:color="auto" w:fill="auto"/>
          </w:tcPr>
          <w:p w:rsidR="00B95EA6" w:rsidRDefault="00B95EA6">
            <w:pPr>
              <w:rPr>
                <w:lang w:val="cs-CZ"/>
              </w:rPr>
            </w:pPr>
            <w:r>
              <w:rPr>
                <w:lang w:val="cs-CZ"/>
              </w:rPr>
              <w:lastRenderedPageBreak/>
              <w:t xml:space="preserve">důvody takového odkladu, měla by být omezena na přeshraniční koordinaci a nevyřešených otázek souvisejících s škodlivých zásahy, je nutné zajistit, aby technické složitosti migrační </w:t>
            </w:r>
            <w:proofErr w:type="gramStart"/>
            <w:r>
              <w:rPr>
                <w:lang w:val="cs-CZ"/>
              </w:rPr>
              <w:t>velkého</w:t>
            </w:r>
            <w:proofErr w:type="gramEnd"/>
            <w:r>
              <w:rPr>
                <w:lang w:val="cs-CZ"/>
              </w:rPr>
              <w:t xml:space="preserve"> množství souboru </w:t>
            </w:r>
            <w:r>
              <w:rPr>
                <w:lang w:val="cs-CZ"/>
              </w:rPr>
              <w:lastRenderedPageBreak/>
              <w:t>norem v oblasti pokročilé finanční náklady na přechod vyšší než očekávané příjmy vytvořené pro řízení a vyšší moci.</w:t>
            </w:r>
          </w:p>
        </w:tc>
      </w:tr>
      <w:tr w:rsidR="00B95EA6" w:rsidTr="00A26A8C">
        <w:tc>
          <w:tcPr>
            <w:tcW w:w="0" w:type="auto"/>
            <w:shd w:val="clear" w:color="auto" w:fill="auto"/>
          </w:tcPr>
          <w:p w:rsidR="00B95EA6" w:rsidRDefault="00B95EA6">
            <w:pPr>
              <w:rPr>
                <w:lang w:val="en-GB"/>
              </w:rPr>
            </w:pPr>
            <w:r>
              <w:rPr>
                <w:rStyle w:val="SegmentID"/>
                <w:lang w:val="en-GB"/>
              </w:rPr>
              <w:lastRenderedPageBreak/>
              <w:t>68</w:t>
            </w:r>
            <w:r>
              <w:rPr>
                <w:rStyle w:val="TransUnitID"/>
                <w:lang w:val="en-GB"/>
              </w:rPr>
              <w:t>b210f2f1-716e-459f-a92e-71b1fd28617a</w:t>
            </w:r>
          </w:p>
        </w:tc>
        <w:tc>
          <w:tcPr>
            <w:tcW w:w="0" w:type="auto"/>
            <w:shd w:val="clear" w:color="auto" w:fill="auto"/>
          </w:tcPr>
          <w:p w:rsidR="00B95EA6" w:rsidRDefault="00B95EA6">
            <w:pPr>
              <w:rPr>
                <w:lang w:val="en-GB"/>
              </w:rPr>
            </w:pPr>
            <w:r>
              <w:rPr>
                <w:lang w:val="en-GB"/>
              </w:rPr>
              <w:t>Member States should take all necessary steps to minimise resulting harmful interference in the affected Member States.</w:t>
            </w:r>
          </w:p>
        </w:tc>
        <w:tc>
          <w:tcPr>
            <w:tcW w:w="0" w:type="auto"/>
            <w:shd w:val="clear" w:color="auto" w:fill="auto"/>
          </w:tcPr>
          <w:p w:rsidR="00B95EA6" w:rsidRDefault="00B95EA6">
            <w:pPr>
              <w:rPr>
                <w:lang w:val="cs-CZ"/>
              </w:rPr>
            </w:pPr>
            <w:proofErr w:type="gramStart"/>
            <w:r>
              <w:rPr>
                <w:lang w:val="cs-CZ"/>
              </w:rPr>
              <w:t>Členské</w:t>
            </w:r>
            <w:proofErr w:type="gramEnd"/>
            <w:r>
              <w:rPr>
                <w:lang w:val="cs-CZ"/>
              </w:rPr>
              <w:t xml:space="preserve"> státy by měly přijmout veškerá nezbytná opatření s cílem minimalizovat škodlivé rušení, které v členských </w:t>
            </w:r>
            <w:proofErr w:type="gramStart"/>
            <w:r>
              <w:rPr>
                <w:lang w:val="cs-CZ"/>
              </w:rPr>
              <w:t>státech.</w:t>
            </w:r>
            <w:proofErr w:type="gramEnd"/>
          </w:p>
        </w:tc>
      </w:tr>
      <w:tr w:rsidR="00B95EA6" w:rsidTr="00A26A8C">
        <w:tc>
          <w:tcPr>
            <w:tcW w:w="0" w:type="auto"/>
            <w:shd w:val="clear" w:color="auto" w:fill="auto"/>
          </w:tcPr>
          <w:p w:rsidR="00B95EA6" w:rsidRDefault="00B95EA6">
            <w:pPr>
              <w:rPr>
                <w:lang w:val="en-GB"/>
              </w:rPr>
            </w:pPr>
            <w:r>
              <w:rPr>
                <w:rStyle w:val="SegmentID"/>
                <w:lang w:val="en-GB"/>
              </w:rPr>
              <w:t>69</w:t>
            </w:r>
            <w:r>
              <w:rPr>
                <w:rStyle w:val="TransUnitID"/>
                <w:lang w:val="en-GB"/>
              </w:rPr>
              <w:t>b210f2f1-716e-459f-a92e-71b1fd28617a</w:t>
            </w:r>
          </w:p>
        </w:tc>
        <w:tc>
          <w:tcPr>
            <w:tcW w:w="0" w:type="auto"/>
            <w:shd w:val="clear" w:color="auto" w:fill="auto"/>
          </w:tcPr>
          <w:p w:rsidR="00B95EA6" w:rsidRDefault="00B95EA6">
            <w:pPr>
              <w:rPr>
                <w:lang w:val="en-GB"/>
              </w:rPr>
            </w:pPr>
            <w:r>
              <w:rPr>
                <w:lang w:val="en-GB"/>
              </w:rPr>
              <w:t>In the event that Member States delay allowing the use of the 700 MHz frequency band, they should inform the other Member States and the Commission accordingly and include the duly justified reasons therefor in their national roadmaps.</w:t>
            </w:r>
          </w:p>
        </w:tc>
        <w:tc>
          <w:tcPr>
            <w:tcW w:w="0" w:type="auto"/>
            <w:shd w:val="clear" w:color="auto" w:fill="auto"/>
          </w:tcPr>
          <w:p w:rsidR="00B95EA6" w:rsidRDefault="00B95EA6">
            <w:pPr>
              <w:rPr>
                <w:lang w:val="cs-CZ"/>
              </w:rPr>
            </w:pPr>
            <w:r>
              <w:rPr>
                <w:lang w:val="cs-CZ"/>
              </w:rPr>
              <w:t xml:space="preserve">V případě, že </w:t>
            </w:r>
            <w:proofErr w:type="gramStart"/>
            <w:r>
              <w:rPr>
                <w:lang w:val="cs-CZ"/>
              </w:rPr>
              <w:t>by</w:t>
            </w:r>
            <w:proofErr w:type="gramEnd"/>
            <w:r>
              <w:rPr>
                <w:lang w:val="cs-CZ"/>
              </w:rPr>
              <w:t xml:space="preserve"> ji členské státy využívání kmitočtového pásma 700 MHz </w:t>
            </w:r>
            <w:proofErr w:type="gramStart"/>
            <w:r>
              <w:rPr>
                <w:lang w:val="cs-CZ"/>
              </w:rPr>
              <w:t>by</w:t>
            </w:r>
            <w:proofErr w:type="gramEnd"/>
            <w:r>
              <w:rPr>
                <w:lang w:val="cs-CZ"/>
              </w:rPr>
              <w:t xml:space="preserve"> měly informovat ostatní členské státy a Komisi a řádně odůvodněných důvody jejich vnitrostátních plánů.</w:t>
            </w:r>
          </w:p>
        </w:tc>
      </w:tr>
      <w:tr w:rsidR="00B95EA6" w:rsidTr="00A26A8C">
        <w:tc>
          <w:tcPr>
            <w:tcW w:w="0" w:type="auto"/>
            <w:shd w:val="clear" w:color="auto" w:fill="auto"/>
          </w:tcPr>
          <w:p w:rsidR="00B95EA6" w:rsidRDefault="00B95EA6">
            <w:pPr>
              <w:rPr>
                <w:lang w:val="en-GB"/>
              </w:rPr>
            </w:pPr>
            <w:r>
              <w:rPr>
                <w:rStyle w:val="SegmentID"/>
                <w:lang w:val="en-GB"/>
              </w:rPr>
              <w:t>70</w:t>
            </w:r>
            <w:r>
              <w:rPr>
                <w:rStyle w:val="TransUnitID"/>
                <w:lang w:val="en-GB"/>
              </w:rPr>
              <w:t>b210f2f1-716e-459f-a92e-71b1fd28617a</w:t>
            </w:r>
          </w:p>
        </w:tc>
        <w:tc>
          <w:tcPr>
            <w:tcW w:w="0" w:type="auto"/>
            <w:shd w:val="clear" w:color="auto" w:fill="auto"/>
          </w:tcPr>
          <w:p w:rsidR="00B95EA6" w:rsidRDefault="00B95EA6">
            <w:pPr>
              <w:rPr>
                <w:lang w:val="en-GB"/>
              </w:rPr>
            </w:pPr>
            <w:r>
              <w:rPr>
                <w:lang w:val="en-GB"/>
              </w:rPr>
              <w:t>Such Member States and any Member States affected by the delay should cooperate with a view to coordinating the process of releasing the 700 MHz frequency band and should include information on such coordination in their national roadmaps.</w:t>
            </w:r>
          </w:p>
        </w:tc>
        <w:tc>
          <w:tcPr>
            <w:tcW w:w="0" w:type="auto"/>
            <w:shd w:val="clear" w:color="auto" w:fill="auto"/>
          </w:tcPr>
          <w:p w:rsidR="00B95EA6" w:rsidRDefault="00B95EA6">
            <w:pPr>
              <w:rPr>
                <w:lang w:val="cs-CZ"/>
              </w:rPr>
            </w:pPr>
            <w:r>
              <w:rPr>
                <w:lang w:val="cs-CZ"/>
              </w:rPr>
              <w:t xml:space="preserve">Tyto členské státy a členskými státy, které ji </w:t>
            </w:r>
            <w:proofErr w:type="gramStart"/>
            <w:r>
              <w:rPr>
                <w:lang w:val="cs-CZ"/>
              </w:rPr>
              <w:t>měly</w:t>
            </w:r>
            <w:proofErr w:type="gramEnd"/>
            <w:r>
              <w:rPr>
                <w:lang w:val="cs-CZ"/>
              </w:rPr>
              <w:t xml:space="preserve"> spolupracovat s cílem koordinovat postupu propuštění kmitočtové pásmo 700 MHz by </w:t>
            </w:r>
            <w:proofErr w:type="gramStart"/>
            <w:r>
              <w:rPr>
                <w:lang w:val="cs-CZ"/>
              </w:rPr>
              <w:t>měla</w:t>
            </w:r>
            <w:proofErr w:type="gramEnd"/>
            <w:r>
              <w:rPr>
                <w:lang w:val="cs-CZ"/>
              </w:rPr>
              <w:t xml:space="preserve"> obsahovat tyto informace týkající se koordinace svých vnitrostátních plánů.</w:t>
            </w:r>
          </w:p>
        </w:tc>
      </w:tr>
      <w:tr w:rsidR="00B95EA6" w:rsidTr="00A26A8C">
        <w:tc>
          <w:tcPr>
            <w:tcW w:w="0" w:type="auto"/>
            <w:shd w:val="clear" w:color="auto" w:fill="auto"/>
          </w:tcPr>
          <w:p w:rsidR="00B95EA6" w:rsidRDefault="00B95EA6">
            <w:pPr>
              <w:rPr>
                <w:lang w:val="en-GB"/>
              </w:rPr>
            </w:pPr>
            <w:r>
              <w:rPr>
                <w:rStyle w:val="SegmentID"/>
                <w:lang w:val="en-GB"/>
              </w:rPr>
              <w:t>71</w:t>
            </w:r>
            <w:r>
              <w:rPr>
                <w:rStyle w:val="TransUnitID"/>
                <w:lang w:val="en-GB"/>
              </w:rPr>
              <w:t>e9b5c7ed-c636-408e-ae0e-e6a76938ad30</w:t>
            </w:r>
          </w:p>
        </w:tc>
        <w:tc>
          <w:tcPr>
            <w:tcW w:w="0" w:type="auto"/>
            <w:shd w:val="clear" w:color="auto" w:fill="auto"/>
          </w:tcPr>
          <w:p w:rsidR="00B95EA6" w:rsidRDefault="00B95EA6">
            <w:pPr>
              <w:rPr>
                <w:lang w:val="en-GB"/>
              </w:rPr>
            </w:pPr>
            <w:r>
              <w:rPr>
                <w:lang w:val="en-GB"/>
              </w:rPr>
              <w:t>(16)</w:t>
            </w:r>
          </w:p>
        </w:tc>
        <w:tc>
          <w:tcPr>
            <w:tcW w:w="0" w:type="auto"/>
            <w:shd w:val="clear" w:color="auto" w:fill="auto"/>
          </w:tcPr>
          <w:p w:rsidR="00B95EA6" w:rsidRDefault="00B95EA6">
            <w:pPr>
              <w:rPr>
                <w:lang w:val="cs-CZ"/>
              </w:rPr>
            </w:pPr>
            <w:r>
              <w:rPr>
                <w:lang w:val="cs-CZ"/>
              </w:rPr>
              <w:t>(16)</w:t>
            </w:r>
          </w:p>
        </w:tc>
      </w:tr>
      <w:tr w:rsidR="00B95EA6" w:rsidTr="00A26A8C">
        <w:tc>
          <w:tcPr>
            <w:tcW w:w="0" w:type="auto"/>
            <w:shd w:val="clear" w:color="auto" w:fill="auto"/>
          </w:tcPr>
          <w:p w:rsidR="00B95EA6" w:rsidRDefault="00B95EA6">
            <w:pPr>
              <w:rPr>
                <w:lang w:val="en-GB"/>
              </w:rPr>
            </w:pPr>
            <w:r>
              <w:rPr>
                <w:rStyle w:val="SegmentID"/>
                <w:lang w:val="en-GB"/>
              </w:rPr>
              <w:t>72</w:t>
            </w:r>
            <w:r>
              <w:rPr>
                <w:rStyle w:val="TransUnitID"/>
                <w:lang w:val="en-GB"/>
              </w:rPr>
              <w:t>c4bf1e45-c9d7-415e-b115-5aeae9de5cdc</w:t>
            </w:r>
          </w:p>
        </w:tc>
        <w:tc>
          <w:tcPr>
            <w:tcW w:w="0" w:type="auto"/>
            <w:shd w:val="clear" w:color="auto" w:fill="auto"/>
          </w:tcPr>
          <w:p w:rsidR="00B95EA6" w:rsidRDefault="00B95EA6">
            <w:pPr>
              <w:rPr>
                <w:lang w:val="en-GB"/>
              </w:rPr>
            </w:pPr>
            <w:r>
              <w:rPr>
                <w:lang w:val="en-GB"/>
              </w:rPr>
              <w:t>The use of the 700 MHz frequency band by other applications in third countries, as allowed by international agreements or in parts of national territory outside the effective control of the Member State authorities, could limit the use of the 700 MHz frequency band for terrestrial wireless broadband electronic communications services in some Member States.</w:t>
            </w:r>
          </w:p>
        </w:tc>
        <w:tc>
          <w:tcPr>
            <w:tcW w:w="0" w:type="auto"/>
            <w:shd w:val="clear" w:color="auto" w:fill="auto"/>
          </w:tcPr>
          <w:p w:rsidR="00B95EA6" w:rsidRDefault="00B95EA6">
            <w:pPr>
              <w:rPr>
                <w:lang w:val="cs-CZ"/>
              </w:rPr>
            </w:pPr>
            <w:r>
              <w:rPr>
                <w:lang w:val="cs-CZ"/>
              </w:rPr>
              <w:t>využívání kmitočtového pásma 700 MHz žádostí ze třetích zemí, jak je povoleno podle mezinárodních dohod nebo z části území mimo účinného řízení ze strany orgánů členských států, omezovat využívání kmitočtového pásma 700 MHz pro zemské bezdrátové širokopásmové služby elektronických komunikací v některých členských státech.</w:t>
            </w:r>
          </w:p>
        </w:tc>
      </w:tr>
      <w:tr w:rsidR="00B95EA6" w:rsidTr="00A26A8C">
        <w:tc>
          <w:tcPr>
            <w:tcW w:w="0" w:type="auto"/>
            <w:shd w:val="clear" w:color="auto" w:fill="auto"/>
          </w:tcPr>
          <w:p w:rsidR="00B95EA6" w:rsidRDefault="00B95EA6">
            <w:pPr>
              <w:rPr>
                <w:lang w:val="en-GB"/>
              </w:rPr>
            </w:pPr>
            <w:r>
              <w:rPr>
                <w:rStyle w:val="SegmentID"/>
                <w:lang w:val="en-GB"/>
              </w:rPr>
              <w:t>73</w:t>
            </w:r>
            <w:r>
              <w:rPr>
                <w:rStyle w:val="TransUnitID"/>
                <w:lang w:val="en-GB"/>
              </w:rPr>
              <w:t>c4bf1e45-c9d7-415e-b115-5aeae9de5cdc</w:t>
            </w:r>
          </w:p>
        </w:tc>
        <w:tc>
          <w:tcPr>
            <w:tcW w:w="0" w:type="auto"/>
            <w:shd w:val="clear" w:color="auto" w:fill="auto"/>
          </w:tcPr>
          <w:p w:rsidR="00B95EA6" w:rsidRDefault="00B95EA6">
            <w:pPr>
              <w:rPr>
                <w:lang w:val="en-GB"/>
              </w:rPr>
            </w:pPr>
            <w:r>
              <w:rPr>
                <w:lang w:val="en-GB"/>
              </w:rPr>
              <w:t>This would prevent those Member States from complying with the common schedule set at Union level.</w:t>
            </w:r>
          </w:p>
        </w:tc>
        <w:tc>
          <w:tcPr>
            <w:tcW w:w="0" w:type="auto"/>
            <w:shd w:val="clear" w:color="auto" w:fill="auto"/>
          </w:tcPr>
          <w:p w:rsidR="00B95EA6" w:rsidRDefault="00B95EA6">
            <w:pPr>
              <w:rPr>
                <w:lang w:val="cs-CZ"/>
              </w:rPr>
            </w:pPr>
            <w:r>
              <w:rPr>
                <w:lang w:val="cs-CZ"/>
              </w:rPr>
              <w:t>To by mu tyto členské státy v souladu se společným harmonogramu stanoveného na úrovni Unie.</w:t>
            </w:r>
          </w:p>
        </w:tc>
      </w:tr>
      <w:tr w:rsidR="00B95EA6" w:rsidTr="00A26A8C">
        <w:tc>
          <w:tcPr>
            <w:tcW w:w="0" w:type="auto"/>
            <w:shd w:val="clear" w:color="auto" w:fill="auto"/>
          </w:tcPr>
          <w:p w:rsidR="00B95EA6" w:rsidRDefault="00B95EA6">
            <w:pPr>
              <w:rPr>
                <w:lang w:val="en-GB"/>
              </w:rPr>
            </w:pPr>
            <w:r>
              <w:rPr>
                <w:rStyle w:val="SegmentID"/>
                <w:lang w:val="en-GB"/>
              </w:rPr>
              <w:t>74</w:t>
            </w:r>
            <w:r>
              <w:rPr>
                <w:rStyle w:val="TransUnitID"/>
                <w:lang w:val="en-GB"/>
              </w:rPr>
              <w:t>c4bf1e45-c9d7-415e-b115-5aeae9de5cdc</w:t>
            </w:r>
          </w:p>
        </w:tc>
        <w:tc>
          <w:tcPr>
            <w:tcW w:w="0" w:type="auto"/>
            <w:shd w:val="clear" w:color="auto" w:fill="auto"/>
          </w:tcPr>
          <w:p w:rsidR="00B95EA6" w:rsidRDefault="00B95EA6">
            <w:pPr>
              <w:rPr>
                <w:lang w:val="en-GB"/>
              </w:rPr>
            </w:pPr>
            <w:r>
              <w:rPr>
                <w:lang w:val="en-GB"/>
              </w:rPr>
              <w:t>The Member States concerned should take all necessary steps to minimise the duration and geographical extent of those limitations and seek the assistance of the Union, where necessary, under Article 10(2) of Decision No 243/2012/EU.</w:t>
            </w:r>
          </w:p>
        </w:tc>
        <w:tc>
          <w:tcPr>
            <w:tcW w:w="0" w:type="auto"/>
            <w:shd w:val="clear" w:color="auto" w:fill="auto"/>
          </w:tcPr>
          <w:p w:rsidR="00B95EA6" w:rsidRDefault="00B95EA6">
            <w:pPr>
              <w:rPr>
                <w:lang w:val="cs-CZ"/>
              </w:rPr>
            </w:pPr>
            <w:r>
              <w:rPr>
                <w:lang w:val="cs-CZ"/>
              </w:rPr>
              <w:t>Členské státy by měly přijmout veškerá nezbytná opatření k omezení délky a zeměpisný rozsah omezení a hledají pomoc Unie, případně podle čl. 10 odst. 2 rozhodnutí č. 243/2012/EU.</w:t>
            </w:r>
          </w:p>
        </w:tc>
      </w:tr>
      <w:tr w:rsidR="00B95EA6" w:rsidTr="00A26A8C">
        <w:tc>
          <w:tcPr>
            <w:tcW w:w="0" w:type="auto"/>
            <w:shd w:val="clear" w:color="auto" w:fill="auto"/>
          </w:tcPr>
          <w:p w:rsidR="00B95EA6" w:rsidRDefault="00B95EA6">
            <w:pPr>
              <w:rPr>
                <w:lang w:val="en-GB"/>
              </w:rPr>
            </w:pPr>
            <w:r>
              <w:rPr>
                <w:rStyle w:val="SegmentID"/>
                <w:lang w:val="en-GB"/>
              </w:rPr>
              <w:t>75</w:t>
            </w:r>
            <w:r>
              <w:rPr>
                <w:rStyle w:val="TransUnitID"/>
                <w:lang w:val="en-GB"/>
              </w:rPr>
              <w:t>c4bf1e45-c9d7-415e-b115-5aeae9de5cdc</w:t>
            </w:r>
          </w:p>
        </w:tc>
        <w:tc>
          <w:tcPr>
            <w:tcW w:w="0" w:type="auto"/>
            <w:shd w:val="clear" w:color="auto" w:fill="auto"/>
          </w:tcPr>
          <w:p w:rsidR="00B95EA6" w:rsidRDefault="00B95EA6">
            <w:pPr>
              <w:rPr>
                <w:lang w:val="en-GB"/>
              </w:rPr>
            </w:pPr>
            <w:r>
              <w:rPr>
                <w:rStyle w:val="Tag"/>
                <w:lang w:val="en-GB"/>
              </w:rPr>
              <w:t>&lt;197&gt;</w:t>
            </w:r>
            <w:r>
              <w:rPr>
                <w:lang w:val="en-GB"/>
              </w:rPr>
              <w:t>They should also notify the Commission of such limitations pursuant to Article 6(2) and Article 7 of Decision No 676/2002/EC of the European Parliament and of the Council</w:t>
            </w:r>
            <w:r>
              <w:rPr>
                <w:rStyle w:val="Tag"/>
                <w:lang w:val="en-GB"/>
              </w:rPr>
              <w:t>&lt;/197&gt;&lt;201&gt;</w:t>
            </w:r>
            <w:r>
              <w:rPr>
                <w:lang w:val="en-GB"/>
              </w:rPr>
              <w:t> (4)</w:t>
            </w:r>
            <w:r>
              <w:rPr>
                <w:rStyle w:val="Tag"/>
                <w:lang w:val="en-GB"/>
              </w:rPr>
              <w:t>&lt;/201&gt;&lt;214&gt;</w:t>
            </w:r>
            <w:r>
              <w:rPr>
                <w:lang w:val="en-GB"/>
              </w:rPr>
              <w:t>, and the information should be published in accordance with Article 5 of Decision No 676/2002/EC.</w:t>
            </w:r>
            <w:r>
              <w:rPr>
                <w:rStyle w:val="Tag"/>
                <w:lang w:val="en-GB"/>
              </w:rPr>
              <w:t>&lt;/214&gt;</w:t>
            </w:r>
          </w:p>
        </w:tc>
        <w:tc>
          <w:tcPr>
            <w:tcW w:w="0" w:type="auto"/>
            <w:shd w:val="clear" w:color="auto" w:fill="auto"/>
          </w:tcPr>
          <w:p w:rsidR="00B95EA6" w:rsidRDefault="00B95EA6">
            <w:pPr>
              <w:rPr>
                <w:lang w:val="cs-CZ"/>
              </w:rPr>
            </w:pPr>
            <w:proofErr w:type="gramStart"/>
            <w:r>
              <w:rPr>
                <w:lang w:val="cs-CZ"/>
              </w:rPr>
              <w:t>Měla</w:t>
            </w:r>
            <w:proofErr w:type="gramEnd"/>
            <w:r>
              <w:rPr>
                <w:lang w:val="cs-CZ"/>
              </w:rPr>
              <w:t xml:space="preserve"> by rovněž </w:t>
            </w:r>
            <w:proofErr w:type="gramStart"/>
            <w:r>
              <w:rPr>
                <w:lang w:val="cs-CZ"/>
              </w:rPr>
              <w:t>informují</w:t>
            </w:r>
            <w:proofErr w:type="gramEnd"/>
            <w:r>
              <w:rPr>
                <w:lang w:val="cs-CZ"/>
              </w:rPr>
              <w:t xml:space="preserve"> Komisi o takových omezení podle článku 6 a čl. 7 odst. 2 rozhodnutí č. 676/2002/ES Evropského parlamentu a Rady a (4), a informace, které musí být zveřejněny podle článku 5 rozhodnutí č. 676/2002/ES.</w:t>
            </w:r>
          </w:p>
        </w:tc>
      </w:tr>
      <w:tr w:rsidR="00B95EA6" w:rsidTr="00A26A8C">
        <w:tc>
          <w:tcPr>
            <w:tcW w:w="0" w:type="auto"/>
            <w:shd w:val="clear" w:color="auto" w:fill="auto"/>
          </w:tcPr>
          <w:p w:rsidR="00B95EA6" w:rsidRDefault="00B95EA6">
            <w:pPr>
              <w:rPr>
                <w:lang w:val="en-GB"/>
              </w:rPr>
            </w:pPr>
            <w:r>
              <w:rPr>
                <w:rStyle w:val="SegmentID"/>
                <w:lang w:val="en-GB"/>
              </w:rPr>
              <w:t>76</w:t>
            </w:r>
            <w:r>
              <w:rPr>
                <w:rStyle w:val="TransUnitID"/>
                <w:lang w:val="en-GB"/>
              </w:rPr>
              <w:t>6c3139ef-91c2-461f-a4a9-a51a15c5d49c</w:t>
            </w:r>
          </w:p>
        </w:tc>
        <w:tc>
          <w:tcPr>
            <w:tcW w:w="0" w:type="auto"/>
            <w:shd w:val="clear" w:color="auto" w:fill="auto"/>
          </w:tcPr>
          <w:p w:rsidR="00B95EA6" w:rsidRDefault="00B95EA6">
            <w:pPr>
              <w:rPr>
                <w:lang w:val="en-GB"/>
              </w:rPr>
            </w:pPr>
            <w:r>
              <w:rPr>
                <w:lang w:val="en-GB"/>
              </w:rPr>
              <w:t>http://eur-lex.europa.eu/legal-content/EN/TXT/?qid=1495697061931&amp;uri=CELEX:32017D0899</w:t>
            </w:r>
          </w:p>
        </w:tc>
        <w:tc>
          <w:tcPr>
            <w:tcW w:w="0" w:type="auto"/>
            <w:shd w:val="clear" w:color="auto" w:fill="auto"/>
          </w:tcPr>
          <w:p w:rsidR="00B95EA6" w:rsidRDefault="00B95EA6">
            <w:pPr>
              <w:rPr>
                <w:lang w:val="cs-CZ"/>
              </w:rPr>
            </w:pPr>
            <w:r>
              <w:rPr>
                <w:lang w:val="cs-CZ"/>
              </w:rPr>
              <w:t>http://eur-lex.europa.eu/legal-content/EN/TXT/?qid=1495697061931&amp;uri=CELEX:32017D0899.</w:t>
            </w:r>
          </w:p>
        </w:tc>
      </w:tr>
      <w:tr w:rsidR="00B95EA6" w:rsidTr="00A26A8C">
        <w:tc>
          <w:tcPr>
            <w:tcW w:w="0" w:type="auto"/>
            <w:shd w:val="clear" w:color="auto" w:fill="auto"/>
          </w:tcPr>
          <w:p w:rsidR="00B95EA6" w:rsidRDefault="00B95EA6">
            <w:pPr>
              <w:rPr>
                <w:lang w:val="en-GB"/>
              </w:rPr>
            </w:pPr>
            <w:r>
              <w:rPr>
                <w:rStyle w:val="SegmentID"/>
                <w:lang w:val="en-GB"/>
              </w:rPr>
              <w:t>77</w:t>
            </w:r>
            <w:r>
              <w:rPr>
                <w:rStyle w:val="TransUnitID"/>
                <w:lang w:val="en-GB"/>
              </w:rPr>
              <w:t>38ff3204-92f1-4046-88e4-26e55bb459d0</w:t>
            </w:r>
          </w:p>
        </w:tc>
        <w:tc>
          <w:tcPr>
            <w:tcW w:w="0" w:type="auto"/>
            <w:shd w:val="clear" w:color="auto" w:fill="auto"/>
          </w:tcPr>
          <w:p w:rsidR="00B95EA6" w:rsidRDefault="00B95EA6">
            <w:pPr>
              <w:rPr>
                <w:lang w:val="en-GB"/>
              </w:rPr>
            </w:pPr>
            <w:r>
              <w:rPr>
                <w:lang w:val="en-GB"/>
              </w:rPr>
              <w:t>(17)</w:t>
            </w:r>
          </w:p>
        </w:tc>
        <w:tc>
          <w:tcPr>
            <w:tcW w:w="0" w:type="auto"/>
            <w:shd w:val="clear" w:color="auto" w:fill="auto"/>
          </w:tcPr>
          <w:p w:rsidR="00B95EA6" w:rsidRDefault="00B95EA6">
            <w:pPr>
              <w:rPr>
                <w:lang w:val="cs-CZ"/>
              </w:rPr>
            </w:pPr>
            <w:r>
              <w:rPr>
                <w:lang w:val="cs-CZ"/>
              </w:rPr>
              <w:t>(17).</w:t>
            </w:r>
          </w:p>
        </w:tc>
      </w:tr>
      <w:tr w:rsidR="00B95EA6" w:rsidTr="00A26A8C">
        <w:tc>
          <w:tcPr>
            <w:tcW w:w="0" w:type="auto"/>
            <w:shd w:val="clear" w:color="auto" w:fill="auto"/>
          </w:tcPr>
          <w:p w:rsidR="00B95EA6" w:rsidRDefault="00B95EA6">
            <w:pPr>
              <w:rPr>
                <w:lang w:val="en-GB"/>
              </w:rPr>
            </w:pPr>
            <w:r>
              <w:rPr>
                <w:rStyle w:val="SegmentID"/>
                <w:lang w:val="en-GB"/>
              </w:rPr>
              <w:t>78</w:t>
            </w:r>
            <w:r>
              <w:rPr>
                <w:rStyle w:val="TransUnitID"/>
                <w:lang w:val="en-GB"/>
              </w:rPr>
              <w:t>0344b4a7-3abc-4798-a9ff-20f69ed08d65</w:t>
            </w:r>
          </w:p>
        </w:tc>
        <w:tc>
          <w:tcPr>
            <w:tcW w:w="0" w:type="auto"/>
            <w:shd w:val="clear" w:color="auto" w:fill="auto"/>
          </w:tcPr>
          <w:p w:rsidR="00B95EA6" w:rsidRDefault="00B95EA6">
            <w:pPr>
              <w:rPr>
                <w:lang w:val="en-GB"/>
              </w:rPr>
            </w:pPr>
            <w:r>
              <w:rPr>
                <w:lang w:val="en-GB"/>
              </w:rPr>
              <w:t>This Decision should be without prejudice to measures taken at national level, in accordance with Union law, that pursue general-interest objectives relating to the right of Member States to organise and use their spectrum for the purposes of public order, public security and defence.</w:t>
            </w:r>
          </w:p>
        </w:tc>
        <w:tc>
          <w:tcPr>
            <w:tcW w:w="0" w:type="auto"/>
            <w:shd w:val="clear" w:color="auto" w:fill="auto"/>
          </w:tcPr>
          <w:p w:rsidR="00B95EA6" w:rsidRDefault="00B95EA6">
            <w:pPr>
              <w:rPr>
                <w:lang w:val="cs-CZ"/>
              </w:rPr>
            </w:pPr>
            <w:r>
              <w:rPr>
                <w:lang w:val="cs-CZ"/>
              </w:rPr>
              <w:t xml:space="preserve">Toto rozhodnutí by mělo být přijato, aniž jsou dotčena opatření na vnitrostátní úrovni, v souladu s právem Unie, které vykonávají </w:t>
            </w:r>
            <w:proofErr w:type="spellStart"/>
            <w:r>
              <w:rPr>
                <w:lang w:val="cs-CZ"/>
              </w:rPr>
              <w:t>general-interest</w:t>
            </w:r>
            <w:proofErr w:type="spellEnd"/>
            <w:r>
              <w:rPr>
                <w:lang w:val="cs-CZ"/>
              </w:rPr>
              <w:t xml:space="preserve"> cílů týkajících se práva členských států organizovat a využívat jejich spektrum pro účely veřejného pořádku a veřejné bezpečnosti a obrany.</w:t>
            </w:r>
          </w:p>
        </w:tc>
      </w:tr>
      <w:tr w:rsidR="00B95EA6" w:rsidTr="00A26A8C">
        <w:tc>
          <w:tcPr>
            <w:tcW w:w="0" w:type="auto"/>
            <w:shd w:val="clear" w:color="auto" w:fill="auto"/>
          </w:tcPr>
          <w:p w:rsidR="00B95EA6" w:rsidRDefault="00B95EA6">
            <w:pPr>
              <w:rPr>
                <w:lang w:val="en-GB"/>
              </w:rPr>
            </w:pPr>
            <w:r>
              <w:rPr>
                <w:rStyle w:val="SegmentID"/>
                <w:lang w:val="en-GB"/>
              </w:rPr>
              <w:t>79</w:t>
            </w:r>
            <w:r>
              <w:rPr>
                <w:rStyle w:val="TransUnitID"/>
                <w:lang w:val="en-GB"/>
              </w:rPr>
              <w:t>faf71fc4-cf57-4521-bc6b-f29dfd4cced3</w:t>
            </w:r>
          </w:p>
        </w:tc>
        <w:tc>
          <w:tcPr>
            <w:tcW w:w="0" w:type="auto"/>
            <w:shd w:val="clear" w:color="auto" w:fill="auto"/>
          </w:tcPr>
          <w:p w:rsidR="00B95EA6" w:rsidRDefault="00B95EA6">
            <w:pPr>
              <w:rPr>
                <w:lang w:val="en-GB"/>
              </w:rPr>
            </w:pPr>
            <w:r>
              <w:rPr>
                <w:lang w:val="en-GB"/>
              </w:rPr>
              <w:t>(18)</w:t>
            </w:r>
          </w:p>
        </w:tc>
        <w:tc>
          <w:tcPr>
            <w:tcW w:w="0" w:type="auto"/>
            <w:shd w:val="clear" w:color="auto" w:fill="auto"/>
          </w:tcPr>
          <w:p w:rsidR="00B95EA6" w:rsidRDefault="00B95EA6">
            <w:pPr>
              <w:rPr>
                <w:lang w:val="cs-CZ"/>
              </w:rPr>
            </w:pPr>
            <w:r>
              <w:rPr>
                <w:lang w:val="cs-CZ"/>
              </w:rPr>
              <w:t>(18).</w:t>
            </w:r>
          </w:p>
        </w:tc>
      </w:tr>
      <w:tr w:rsidR="00B95EA6" w:rsidTr="00A26A8C">
        <w:tc>
          <w:tcPr>
            <w:tcW w:w="0" w:type="auto"/>
            <w:shd w:val="clear" w:color="auto" w:fill="auto"/>
          </w:tcPr>
          <w:p w:rsidR="00B95EA6" w:rsidRDefault="00B95EA6">
            <w:pPr>
              <w:rPr>
                <w:lang w:val="en-GB"/>
              </w:rPr>
            </w:pPr>
            <w:r>
              <w:rPr>
                <w:rStyle w:val="SegmentID"/>
                <w:lang w:val="en-GB"/>
              </w:rPr>
              <w:lastRenderedPageBreak/>
              <w:t>80</w:t>
            </w:r>
            <w:r>
              <w:rPr>
                <w:rStyle w:val="TransUnitID"/>
                <w:lang w:val="en-GB"/>
              </w:rPr>
              <w:t>af8c4b02-1620-44e4-98cc-c9f5df027a24</w:t>
            </w:r>
          </w:p>
        </w:tc>
        <w:tc>
          <w:tcPr>
            <w:tcW w:w="0" w:type="auto"/>
            <w:shd w:val="clear" w:color="auto" w:fill="auto"/>
          </w:tcPr>
          <w:p w:rsidR="00B95EA6" w:rsidRDefault="00B95EA6">
            <w:pPr>
              <w:rPr>
                <w:lang w:val="en-GB"/>
              </w:rPr>
            </w:pPr>
            <w:r>
              <w:rPr>
                <w:lang w:val="en-GB"/>
              </w:rPr>
              <w:t>The use of the 700 MHz frequency band for terrestrial wireless broadband electronic communications services should be subject to a flexible authorisation regime as soon as possible.</w:t>
            </w:r>
          </w:p>
        </w:tc>
        <w:tc>
          <w:tcPr>
            <w:tcW w:w="0" w:type="auto"/>
            <w:shd w:val="clear" w:color="auto" w:fill="auto"/>
          </w:tcPr>
          <w:p w:rsidR="00B95EA6" w:rsidRDefault="00B95EA6">
            <w:pPr>
              <w:rPr>
                <w:lang w:val="cs-CZ"/>
              </w:rPr>
            </w:pPr>
            <w:r>
              <w:rPr>
                <w:lang w:val="cs-CZ"/>
              </w:rPr>
              <w:t>využívání kmitočtového pásma 700 MHz pro zemské bezdrátové širokopásmové služby elektronických komunikací a flexibilní, by měly podléhat schválení režimu co nejdříve.</w:t>
            </w:r>
          </w:p>
        </w:tc>
      </w:tr>
      <w:tr w:rsidR="00B95EA6" w:rsidTr="00A26A8C">
        <w:tc>
          <w:tcPr>
            <w:tcW w:w="0" w:type="auto"/>
            <w:shd w:val="clear" w:color="auto" w:fill="auto"/>
          </w:tcPr>
          <w:p w:rsidR="00B95EA6" w:rsidRDefault="00B95EA6">
            <w:pPr>
              <w:rPr>
                <w:lang w:val="en-GB"/>
              </w:rPr>
            </w:pPr>
            <w:r>
              <w:rPr>
                <w:rStyle w:val="SegmentID"/>
                <w:lang w:val="en-GB"/>
              </w:rPr>
              <w:t>81</w:t>
            </w:r>
            <w:r>
              <w:rPr>
                <w:rStyle w:val="TransUnitID"/>
                <w:lang w:val="en-GB"/>
              </w:rPr>
              <w:t>af8c4b02-1620-44e4-98cc-c9f5df027a24</w:t>
            </w:r>
          </w:p>
        </w:tc>
        <w:tc>
          <w:tcPr>
            <w:tcW w:w="0" w:type="auto"/>
            <w:shd w:val="clear" w:color="auto" w:fill="auto"/>
          </w:tcPr>
          <w:p w:rsidR="00B95EA6" w:rsidRDefault="00B95EA6">
            <w:pPr>
              <w:rPr>
                <w:lang w:val="en-GB"/>
              </w:rPr>
            </w:pPr>
            <w:r>
              <w:rPr>
                <w:rStyle w:val="Tag"/>
                <w:lang w:val="en-GB"/>
              </w:rPr>
              <w:t>&lt;226&gt;</w:t>
            </w:r>
            <w:r>
              <w:rPr>
                <w:lang w:val="en-GB"/>
              </w:rPr>
              <w:t>This should include the possibility for holders of rights of use of spectrum to transfer and lease their existing rights in the context of the application of Articles 9, 9a and 9b of Directive 2002/21/EC of the European Parliament and of the Council</w:t>
            </w:r>
            <w:r>
              <w:rPr>
                <w:rStyle w:val="Tag"/>
                <w:lang w:val="en-GB"/>
              </w:rPr>
              <w:t>&lt;/226&gt;&lt;227&gt;</w:t>
            </w:r>
            <w:r>
              <w:rPr>
                <w:lang w:val="en-GB"/>
              </w:rPr>
              <w:t> (5)</w:t>
            </w:r>
            <w:r>
              <w:rPr>
                <w:rStyle w:val="Tag"/>
                <w:lang w:val="en-GB"/>
              </w:rPr>
              <w:t>&lt;/227&gt;&lt;240&gt;</w:t>
            </w:r>
            <w:r>
              <w:rPr>
                <w:lang w:val="en-GB"/>
              </w:rPr>
              <w:t>, taking into account the obligation to promote effective competition without distortions of competition in the internal market for electronic communications services under Article 5 of Decision No 243/2012/EU.</w:t>
            </w:r>
            <w:r>
              <w:rPr>
                <w:rStyle w:val="Tag"/>
                <w:lang w:val="en-GB"/>
              </w:rPr>
              <w:t>&lt;/240&gt;</w:t>
            </w:r>
          </w:p>
        </w:tc>
        <w:tc>
          <w:tcPr>
            <w:tcW w:w="0" w:type="auto"/>
            <w:shd w:val="clear" w:color="auto" w:fill="auto"/>
          </w:tcPr>
          <w:p w:rsidR="00B95EA6" w:rsidRDefault="00B95EA6">
            <w:pPr>
              <w:rPr>
                <w:lang w:val="cs-CZ"/>
              </w:rPr>
            </w:pPr>
            <w:r>
              <w:rPr>
                <w:lang w:val="cs-CZ"/>
              </w:rPr>
              <w:t>To by mělo být možné držitelů práv na využívání spektra pro pronájem a jejich stávající práva na základě článku 9a a článku 9b 9 směrnice 2002/21/ES Evropského parlamentu a Rady č. 5), s přihlédnutím k prosazování účinného bez narušení hospodářské soutěže v rámci vnitřního trhu služeb elektronických komunikací podle článku 5 rozhodnutí č. 243/2012/EU.</w:t>
            </w:r>
          </w:p>
        </w:tc>
      </w:tr>
      <w:tr w:rsidR="00B95EA6" w:rsidTr="00A26A8C">
        <w:tc>
          <w:tcPr>
            <w:tcW w:w="0" w:type="auto"/>
            <w:shd w:val="clear" w:color="auto" w:fill="auto"/>
          </w:tcPr>
          <w:p w:rsidR="00B95EA6" w:rsidRDefault="00B95EA6">
            <w:pPr>
              <w:rPr>
                <w:lang w:val="en-GB"/>
              </w:rPr>
            </w:pPr>
            <w:r>
              <w:rPr>
                <w:rStyle w:val="SegmentID"/>
                <w:lang w:val="en-GB"/>
              </w:rPr>
              <w:t>82</w:t>
            </w:r>
            <w:r>
              <w:rPr>
                <w:rStyle w:val="TransUnitID"/>
                <w:lang w:val="en-GB"/>
              </w:rPr>
              <w:t>af8c4b02-1620-44e4-98cc-c9f5df027a24</w:t>
            </w:r>
          </w:p>
        </w:tc>
        <w:tc>
          <w:tcPr>
            <w:tcW w:w="0" w:type="auto"/>
            <w:shd w:val="clear" w:color="auto" w:fill="auto"/>
          </w:tcPr>
          <w:p w:rsidR="00B95EA6" w:rsidRDefault="00B95EA6">
            <w:pPr>
              <w:rPr>
                <w:lang w:val="en-GB"/>
              </w:rPr>
            </w:pPr>
            <w:r>
              <w:rPr>
                <w:lang w:val="en-GB"/>
              </w:rPr>
              <w:t>During their respective assessments when licensing spectrum, the Member States should take into consideration the duration of licences, the business plan of the operators and its contribution to meeting the Digital Agenda objectives, and the promotion of innovative digital services and long-term socioeconomic benefits.</w:t>
            </w:r>
          </w:p>
        </w:tc>
        <w:tc>
          <w:tcPr>
            <w:tcW w:w="0" w:type="auto"/>
            <w:shd w:val="clear" w:color="auto" w:fill="auto"/>
          </w:tcPr>
          <w:p w:rsidR="00B95EA6" w:rsidRDefault="00B95EA6">
            <w:pPr>
              <w:rPr>
                <w:lang w:val="cs-CZ"/>
              </w:rPr>
            </w:pPr>
            <w:r>
              <w:rPr>
                <w:lang w:val="cs-CZ"/>
              </w:rPr>
              <w:t>Ve svých posouzeních při udílení spektra, by členské státy měly zohlednit dobu platnosti licence, obchodní plán subjekty a přispívá k plnění cílů v oblasti digitální agendě a podpoře inovativního digitálních služeb a dlouhodobé hospodářských a sociálních dávek.</w:t>
            </w:r>
          </w:p>
        </w:tc>
      </w:tr>
      <w:tr w:rsidR="00B95EA6" w:rsidTr="00A26A8C">
        <w:tc>
          <w:tcPr>
            <w:tcW w:w="0" w:type="auto"/>
            <w:shd w:val="clear" w:color="auto" w:fill="auto"/>
          </w:tcPr>
          <w:p w:rsidR="00B95EA6" w:rsidRDefault="00B95EA6">
            <w:pPr>
              <w:rPr>
                <w:lang w:val="en-GB"/>
              </w:rPr>
            </w:pPr>
            <w:r>
              <w:rPr>
                <w:rStyle w:val="SegmentID"/>
                <w:lang w:val="en-GB"/>
              </w:rPr>
              <w:t>83</w:t>
            </w:r>
            <w:r>
              <w:rPr>
                <w:rStyle w:val="TransUnitID"/>
                <w:lang w:val="en-GB"/>
              </w:rPr>
              <w:t>ef9036a3-cf44-487d-b910-c932eb2ecdb9</w:t>
            </w:r>
          </w:p>
        </w:tc>
        <w:tc>
          <w:tcPr>
            <w:tcW w:w="0" w:type="auto"/>
            <w:shd w:val="clear" w:color="auto" w:fill="auto"/>
          </w:tcPr>
          <w:p w:rsidR="00B95EA6" w:rsidRDefault="00B95EA6">
            <w:pPr>
              <w:rPr>
                <w:lang w:val="en-GB"/>
              </w:rPr>
            </w:pPr>
            <w:r>
              <w:rPr>
                <w:lang w:val="en-GB"/>
              </w:rPr>
              <w:t>http://eur-lex.europa.eu/legal-content/EN/TXT/?qid=1495697061931&amp;uri=CELEX:32017D0899</w:t>
            </w:r>
          </w:p>
        </w:tc>
        <w:tc>
          <w:tcPr>
            <w:tcW w:w="0" w:type="auto"/>
            <w:shd w:val="clear" w:color="auto" w:fill="auto"/>
          </w:tcPr>
          <w:p w:rsidR="00B95EA6" w:rsidRDefault="00B95EA6">
            <w:pPr>
              <w:rPr>
                <w:lang w:val="cs-CZ"/>
              </w:rPr>
            </w:pPr>
            <w:r>
              <w:rPr>
                <w:lang w:val="cs-CZ"/>
              </w:rPr>
              <w:t>http://eur-lex.europa.eu/legal-content/EN/TXT/?qid=1495697061931&amp;uri=CELEX:32017D0899.</w:t>
            </w:r>
          </w:p>
        </w:tc>
      </w:tr>
      <w:tr w:rsidR="00B95EA6" w:rsidTr="00A26A8C">
        <w:tc>
          <w:tcPr>
            <w:tcW w:w="0" w:type="auto"/>
            <w:shd w:val="clear" w:color="auto" w:fill="auto"/>
          </w:tcPr>
          <w:p w:rsidR="00B95EA6" w:rsidRDefault="00B95EA6">
            <w:pPr>
              <w:rPr>
                <w:lang w:val="en-GB"/>
              </w:rPr>
            </w:pPr>
            <w:r>
              <w:rPr>
                <w:rStyle w:val="SegmentID"/>
                <w:lang w:val="en-GB"/>
              </w:rPr>
              <w:t>84</w:t>
            </w:r>
            <w:r>
              <w:rPr>
                <w:rStyle w:val="TransUnitID"/>
                <w:lang w:val="en-GB"/>
              </w:rPr>
              <w:t>85eb6881-8ee8-447f-82d2-9fcd7d6d7f5f</w:t>
            </w:r>
          </w:p>
        </w:tc>
        <w:tc>
          <w:tcPr>
            <w:tcW w:w="0" w:type="auto"/>
            <w:shd w:val="clear" w:color="auto" w:fill="auto"/>
          </w:tcPr>
          <w:p w:rsidR="00B95EA6" w:rsidRDefault="00B95EA6">
            <w:pPr>
              <w:rPr>
                <w:lang w:val="en-GB"/>
              </w:rPr>
            </w:pPr>
            <w:r>
              <w:rPr>
                <w:lang w:val="en-GB"/>
              </w:rPr>
              <w:t>(19)</w:t>
            </w:r>
          </w:p>
        </w:tc>
        <w:tc>
          <w:tcPr>
            <w:tcW w:w="0" w:type="auto"/>
            <w:shd w:val="clear" w:color="auto" w:fill="auto"/>
          </w:tcPr>
          <w:p w:rsidR="00B95EA6" w:rsidRDefault="00B95EA6">
            <w:pPr>
              <w:rPr>
                <w:lang w:val="cs-CZ"/>
              </w:rPr>
            </w:pPr>
            <w:r>
              <w:rPr>
                <w:lang w:val="cs-CZ"/>
              </w:rPr>
              <w:t>(19)</w:t>
            </w:r>
          </w:p>
        </w:tc>
      </w:tr>
      <w:tr w:rsidR="00B95EA6" w:rsidTr="00A26A8C">
        <w:tc>
          <w:tcPr>
            <w:tcW w:w="0" w:type="auto"/>
            <w:shd w:val="clear" w:color="auto" w:fill="auto"/>
          </w:tcPr>
          <w:p w:rsidR="00B95EA6" w:rsidRDefault="00B95EA6">
            <w:pPr>
              <w:rPr>
                <w:lang w:val="en-GB"/>
              </w:rPr>
            </w:pPr>
            <w:r>
              <w:rPr>
                <w:rStyle w:val="SegmentID"/>
                <w:lang w:val="en-GB"/>
              </w:rPr>
              <w:t>85</w:t>
            </w:r>
            <w:r>
              <w:rPr>
                <w:rStyle w:val="TransUnitID"/>
                <w:lang w:val="en-GB"/>
              </w:rPr>
              <w:t>78410cd5-e7ac-4367-a8ca-aa87a529ec0b</w:t>
            </w:r>
          </w:p>
        </w:tc>
        <w:tc>
          <w:tcPr>
            <w:tcW w:w="0" w:type="auto"/>
            <w:shd w:val="clear" w:color="auto" w:fill="auto"/>
          </w:tcPr>
          <w:p w:rsidR="00B95EA6" w:rsidRDefault="00B95EA6">
            <w:pPr>
              <w:rPr>
                <w:lang w:val="en-GB"/>
              </w:rPr>
            </w:pPr>
            <w:r>
              <w:rPr>
                <w:lang w:val="en-GB"/>
              </w:rPr>
              <w:t xml:space="preserve">It is important to achieve long-term regulatory predictability for DTT with regard to access to the sub-700 MHz frequency band, taking into account the outcome of the World </w:t>
            </w:r>
            <w:proofErr w:type="spellStart"/>
            <w:r>
              <w:rPr>
                <w:lang w:val="en-GB"/>
              </w:rPr>
              <w:t>Radiocommunication</w:t>
            </w:r>
            <w:proofErr w:type="spellEnd"/>
            <w:r>
              <w:rPr>
                <w:lang w:val="en-GB"/>
              </w:rPr>
              <w:t xml:space="preserve"> Conference in 2015.</w:t>
            </w:r>
          </w:p>
        </w:tc>
        <w:tc>
          <w:tcPr>
            <w:tcW w:w="0" w:type="auto"/>
            <w:shd w:val="clear" w:color="auto" w:fill="auto"/>
          </w:tcPr>
          <w:p w:rsidR="00B95EA6" w:rsidRDefault="00B95EA6">
            <w:pPr>
              <w:rPr>
                <w:lang w:val="cs-CZ"/>
              </w:rPr>
            </w:pPr>
            <w:r>
              <w:rPr>
                <w:lang w:val="cs-CZ"/>
              </w:rPr>
              <w:t xml:space="preserve">Je důležité pro dosažení dlouhodobého regulační DTT a předvídatelnosti ve vztahu k přístupu k sub-700 MHz, s přihlédnutím k světového </w:t>
            </w:r>
            <w:proofErr w:type="spellStart"/>
            <w:r>
              <w:rPr>
                <w:lang w:val="cs-CZ"/>
              </w:rPr>
              <w:t>radiocommunication</w:t>
            </w:r>
            <w:proofErr w:type="spellEnd"/>
            <w:r>
              <w:rPr>
                <w:lang w:val="cs-CZ"/>
              </w:rPr>
              <w:t xml:space="preserve"> konference v roce 2015.</w:t>
            </w:r>
          </w:p>
        </w:tc>
      </w:tr>
      <w:tr w:rsidR="00B95EA6" w:rsidTr="00A26A8C">
        <w:tc>
          <w:tcPr>
            <w:tcW w:w="0" w:type="auto"/>
            <w:shd w:val="clear" w:color="auto" w:fill="auto"/>
          </w:tcPr>
          <w:p w:rsidR="00B95EA6" w:rsidRDefault="00B95EA6">
            <w:pPr>
              <w:rPr>
                <w:lang w:val="en-GB"/>
              </w:rPr>
            </w:pPr>
            <w:r>
              <w:rPr>
                <w:rStyle w:val="SegmentID"/>
                <w:lang w:val="en-GB"/>
              </w:rPr>
              <w:t>86</w:t>
            </w:r>
            <w:r>
              <w:rPr>
                <w:rStyle w:val="TransUnitID"/>
                <w:lang w:val="en-GB"/>
              </w:rPr>
              <w:t>78410cd5-e7ac-4367-a8ca-aa87a529ec0b</w:t>
            </w:r>
          </w:p>
        </w:tc>
        <w:tc>
          <w:tcPr>
            <w:tcW w:w="0" w:type="auto"/>
            <w:shd w:val="clear" w:color="auto" w:fill="auto"/>
          </w:tcPr>
          <w:p w:rsidR="00B95EA6" w:rsidRDefault="00B95EA6">
            <w:pPr>
              <w:rPr>
                <w:lang w:val="en-GB"/>
              </w:rPr>
            </w:pPr>
            <w:r>
              <w:rPr>
                <w:lang w:val="en-GB"/>
              </w:rPr>
              <w:t>In line with Articles 9 and 9a of Directive 2002/21/EC, Member States should apply a flexible approach where possible and should be able to allow the introduction of alternative uses such as terrestrial wireless broadband electronic communications services in the sub-700 MHz frequency band according to national needs for distribution of broadcasting services, including for innovative user-driven initiatives.</w:t>
            </w:r>
          </w:p>
        </w:tc>
        <w:tc>
          <w:tcPr>
            <w:tcW w:w="0" w:type="auto"/>
            <w:shd w:val="clear" w:color="auto" w:fill="auto"/>
          </w:tcPr>
          <w:p w:rsidR="00B95EA6" w:rsidRDefault="00B95EA6">
            <w:pPr>
              <w:rPr>
                <w:lang w:val="cs-CZ"/>
              </w:rPr>
            </w:pPr>
            <w:r>
              <w:rPr>
                <w:lang w:val="cs-CZ"/>
              </w:rPr>
              <w:t xml:space="preserve">V souladu s články 9a a 9 směrnice 2002/21/ES, by měly členské státy uplatňovat flexibilní přístup, pokud možno, měla mít možnost se k použití jako alternativu zavádění zemských bezdrátových širokopásmových služeb elektronických komunikací v sub-700 MHz v závislosti na vnitrostátních </w:t>
            </w:r>
            <w:proofErr w:type="gramStart"/>
            <w:r>
              <w:rPr>
                <w:lang w:val="cs-CZ"/>
              </w:rPr>
              <w:t>potřeb</w:t>
            </w:r>
            <w:proofErr w:type="gramEnd"/>
            <w:r>
              <w:rPr>
                <w:lang w:val="cs-CZ"/>
              </w:rPr>
              <w:t xml:space="preserve"> pro distribuční vysílacích služeb, včetně user-</w:t>
            </w:r>
            <w:proofErr w:type="spellStart"/>
            <w:r>
              <w:rPr>
                <w:lang w:val="cs-CZ"/>
              </w:rPr>
              <w:t>driven</w:t>
            </w:r>
            <w:proofErr w:type="spellEnd"/>
            <w:r>
              <w:rPr>
                <w:lang w:val="cs-CZ"/>
              </w:rPr>
              <w:t xml:space="preserve"> iniciativy pro inovativní.</w:t>
            </w:r>
          </w:p>
        </w:tc>
      </w:tr>
      <w:tr w:rsidR="00B95EA6" w:rsidTr="00A26A8C">
        <w:tc>
          <w:tcPr>
            <w:tcW w:w="0" w:type="auto"/>
            <w:shd w:val="clear" w:color="auto" w:fill="auto"/>
          </w:tcPr>
          <w:p w:rsidR="00B95EA6" w:rsidRDefault="00B95EA6">
            <w:pPr>
              <w:rPr>
                <w:lang w:val="en-GB"/>
              </w:rPr>
            </w:pPr>
            <w:r>
              <w:rPr>
                <w:rStyle w:val="SegmentID"/>
                <w:lang w:val="en-GB"/>
              </w:rPr>
              <w:t>87</w:t>
            </w:r>
            <w:r>
              <w:rPr>
                <w:rStyle w:val="TransUnitID"/>
                <w:lang w:val="en-GB"/>
              </w:rPr>
              <w:t>78410cd5-e7ac-4367-a8ca-aa87a529ec0b</w:t>
            </w:r>
          </w:p>
        </w:tc>
        <w:tc>
          <w:tcPr>
            <w:tcW w:w="0" w:type="auto"/>
            <w:shd w:val="clear" w:color="auto" w:fill="auto"/>
          </w:tcPr>
          <w:p w:rsidR="00B95EA6" w:rsidRDefault="00B95EA6">
            <w:pPr>
              <w:rPr>
                <w:lang w:val="en-GB"/>
              </w:rPr>
            </w:pPr>
            <w:r>
              <w:rPr>
                <w:lang w:val="en-GB"/>
              </w:rPr>
              <w:t>Such alternative uses should guarantee continued access to spectrum for broadcasting as the primary user, subject to national demand.</w:t>
            </w:r>
          </w:p>
        </w:tc>
        <w:tc>
          <w:tcPr>
            <w:tcW w:w="0" w:type="auto"/>
            <w:shd w:val="clear" w:color="auto" w:fill="auto"/>
          </w:tcPr>
          <w:p w:rsidR="00B95EA6" w:rsidRDefault="00B95EA6">
            <w:pPr>
              <w:rPr>
                <w:lang w:val="cs-CZ"/>
              </w:rPr>
            </w:pPr>
            <w:r>
              <w:rPr>
                <w:lang w:val="cs-CZ"/>
              </w:rPr>
              <w:t>Jako alternativu k zachování záruky by měly přístup ke spektru v návodu k použití jako základní technologii, na vnitrostátní úrovni.</w:t>
            </w:r>
          </w:p>
        </w:tc>
      </w:tr>
      <w:tr w:rsidR="00B95EA6" w:rsidTr="00A26A8C">
        <w:tc>
          <w:tcPr>
            <w:tcW w:w="0" w:type="auto"/>
            <w:shd w:val="clear" w:color="auto" w:fill="auto"/>
          </w:tcPr>
          <w:p w:rsidR="00B95EA6" w:rsidRDefault="00B95EA6">
            <w:pPr>
              <w:rPr>
                <w:lang w:val="en-GB"/>
              </w:rPr>
            </w:pPr>
            <w:r>
              <w:rPr>
                <w:rStyle w:val="SegmentID"/>
                <w:lang w:val="en-GB"/>
              </w:rPr>
              <w:t>88</w:t>
            </w:r>
            <w:r>
              <w:rPr>
                <w:rStyle w:val="TransUnitID"/>
                <w:lang w:val="en-GB"/>
              </w:rPr>
              <w:t>78410cd5-e7ac-4367-a8ca-aa87a529ec0b</w:t>
            </w:r>
          </w:p>
        </w:tc>
        <w:tc>
          <w:tcPr>
            <w:tcW w:w="0" w:type="auto"/>
            <w:shd w:val="clear" w:color="auto" w:fill="auto"/>
          </w:tcPr>
          <w:p w:rsidR="00B95EA6" w:rsidRDefault="00B95EA6">
            <w:pPr>
              <w:rPr>
                <w:lang w:val="en-GB"/>
              </w:rPr>
            </w:pPr>
            <w:r>
              <w:rPr>
                <w:lang w:val="en-GB"/>
              </w:rPr>
              <w:t xml:space="preserve">To that end, Member States should promote cooperation between broadcasters, broadcasting operators and mobile operators in order to facilitate the convergence of </w:t>
            </w:r>
            <w:proofErr w:type="spellStart"/>
            <w:r>
              <w:rPr>
                <w:lang w:val="en-GB"/>
              </w:rPr>
              <w:t>audiovisual</w:t>
            </w:r>
            <w:proofErr w:type="spellEnd"/>
            <w:r>
              <w:rPr>
                <w:lang w:val="en-GB"/>
              </w:rPr>
              <w:t xml:space="preserve"> and internet platforms and shared spectrum use.</w:t>
            </w:r>
          </w:p>
        </w:tc>
        <w:tc>
          <w:tcPr>
            <w:tcW w:w="0" w:type="auto"/>
            <w:shd w:val="clear" w:color="auto" w:fill="auto"/>
          </w:tcPr>
          <w:p w:rsidR="00B95EA6" w:rsidRDefault="00B95EA6">
            <w:pPr>
              <w:rPr>
                <w:lang w:val="cs-CZ"/>
              </w:rPr>
            </w:pPr>
            <w:r>
              <w:rPr>
                <w:lang w:val="cs-CZ"/>
              </w:rPr>
              <w:t>Za tímto účelem by členské státy měly podporovat spolupráci mezi subjekty televizního vysílání a mobilního televizního vysílání a provozovatelů, aby se usnadnilo sblížení audiovizuálních a internetové platformy a sdílené využívání spektra.</w:t>
            </w:r>
          </w:p>
        </w:tc>
      </w:tr>
      <w:tr w:rsidR="00B95EA6" w:rsidTr="00A26A8C">
        <w:tc>
          <w:tcPr>
            <w:tcW w:w="0" w:type="auto"/>
            <w:shd w:val="clear" w:color="auto" w:fill="auto"/>
          </w:tcPr>
          <w:p w:rsidR="00B95EA6" w:rsidRDefault="00B95EA6">
            <w:pPr>
              <w:rPr>
                <w:lang w:val="en-GB"/>
              </w:rPr>
            </w:pPr>
            <w:r>
              <w:rPr>
                <w:rStyle w:val="SegmentID"/>
                <w:lang w:val="en-GB"/>
              </w:rPr>
              <w:t>89</w:t>
            </w:r>
            <w:r>
              <w:rPr>
                <w:rStyle w:val="TransUnitID"/>
                <w:lang w:val="en-GB"/>
              </w:rPr>
              <w:t>78410cd5-e7ac-4367-a8ca-aa87a529ec0b</w:t>
            </w:r>
          </w:p>
        </w:tc>
        <w:tc>
          <w:tcPr>
            <w:tcW w:w="0" w:type="auto"/>
            <w:shd w:val="clear" w:color="auto" w:fill="auto"/>
          </w:tcPr>
          <w:p w:rsidR="00B95EA6" w:rsidRDefault="00B95EA6">
            <w:pPr>
              <w:rPr>
                <w:lang w:val="en-GB"/>
              </w:rPr>
            </w:pPr>
            <w:r>
              <w:rPr>
                <w:lang w:val="en-GB"/>
              </w:rPr>
              <w:t xml:space="preserve">When allowing use within the sub-700 MHz frequency band for terrestrial wireless broadband electronic communications services, Member States should ensure that such use does not cause harmful interference to digital terrestrial broadcasting in neighbouring Member States, as provided for in the agreement reached at the </w:t>
            </w:r>
            <w:r>
              <w:rPr>
                <w:lang w:val="en-GB"/>
              </w:rPr>
              <w:lastRenderedPageBreak/>
              <w:t xml:space="preserve">Regional </w:t>
            </w:r>
            <w:proofErr w:type="spellStart"/>
            <w:r>
              <w:rPr>
                <w:lang w:val="en-GB"/>
              </w:rPr>
              <w:t>Radiocommunication</w:t>
            </w:r>
            <w:proofErr w:type="spellEnd"/>
            <w:r>
              <w:rPr>
                <w:lang w:val="en-GB"/>
              </w:rPr>
              <w:t xml:space="preserve"> Conference of 2006.</w:t>
            </w:r>
          </w:p>
        </w:tc>
        <w:tc>
          <w:tcPr>
            <w:tcW w:w="0" w:type="auto"/>
            <w:shd w:val="clear" w:color="auto" w:fill="auto"/>
          </w:tcPr>
          <w:p w:rsidR="00B95EA6" w:rsidRDefault="00B95EA6">
            <w:pPr>
              <w:rPr>
                <w:lang w:val="cs-CZ"/>
              </w:rPr>
            </w:pPr>
            <w:r>
              <w:rPr>
                <w:lang w:val="cs-CZ"/>
              </w:rPr>
              <w:lastRenderedPageBreak/>
              <w:t xml:space="preserve">V případě, že v rámci sub-700 MHz pro zemské bezdrátové širokopásmové služby elektronických komunikací by členské státy měly zajistit, že tato použití nemusí mít škodlivé rušení digitálního pozemního televizního vysílání v sousedních členských </w:t>
            </w:r>
            <w:proofErr w:type="gramStart"/>
            <w:r>
              <w:rPr>
                <w:lang w:val="cs-CZ"/>
              </w:rPr>
              <w:t>států</w:t>
            </w:r>
            <w:proofErr w:type="gramEnd"/>
            <w:r>
              <w:rPr>
                <w:lang w:val="cs-CZ"/>
              </w:rPr>
              <w:t xml:space="preserve">, jak je stanoveno v dohodě dosaženo na regionální </w:t>
            </w:r>
            <w:proofErr w:type="spellStart"/>
            <w:r>
              <w:rPr>
                <w:lang w:val="cs-CZ"/>
              </w:rPr>
              <w:t>radiocommunication</w:t>
            </w:r>
            <w:proofErr w:type="spellEnd"/>
            <w:r>
              <w:rPr>
                <w:lang w:val="cs-CZ"/>
              </w:rPr>
              <w:t xml:space="preserve"> konference z roku </w:t>
            </w:r>
            <w:r>
              <w:rPr>
                <w:lang w:val="cs-CZ"/>
              </w:rPr>
              <w:lastRenderedPageBreak/>
              <w:t>2006.</w:t>
            </w:r>
          </w:p>
        </w:tc>
      </w:tr>
      <w:tr w:rsidR="00B95EA6" w:rsidTr="00A26A8C">
        <w:tc>
          <w:tcPr>
            <w:tcW w:w="0" w:type="auto"/>
            <w:shd w:val="clear" w:color="auto" w:fill="auto"/>
          </w:tcPr>
          <w:p w:rsidR="00B95EA6" w:rsidRDefault="00B95EA6">
            <w:pPr>
              <w:rPr>
                <w:lang w:val="en-GB"/>
              </w:rPr>
            </w:pPr>
            <w:r>
              <w:rPr>
                <w:rStyle w:val="SegmentID"/>
                <w:lang w:val="en-GB"/>
              </w:rPr>
              <w:lastRenderedPageBreak/>
              <w:t>90</w:t>
            </w:r>
            <w:r>
              <w:rPr>
                <w:rStyle w:val="TransUnitID"/>
                <w:lang w:val="en-GB"/>
              </w:rPr>
              <w:t>ff607603-665d-4037-86b4-97874a868dfb</w:t>
            </w:r>
          </w:p>
        </w:tc>
        <w:tc>
          <w:tcPr>
            <w:tcW w:w="0" w:type="auto"/>
            <w:shd w:val="clear" w:color="auto" w:fill="auto"/>
          </w:tcPr>
          <w:p w:rsidR="00B95EA6" w:rsidRDefault="00B95EA6">
            <w:pPr>
              <w:rPr>
                <w:lang w:val="en-GB"/>
              </w:rPr>
            </w:pPr>
            <w:r>
              <w:rPr>
                <w:lang w:val="en-GB"/>
              </w:rPr>
              <w:t>(20)</w:t>
            </w:r>
          </w:p>
        </w:tc>
        <w:tc>
          <w:tcPr>
            <w:tcW w:w="0" w:type="auto"/>
            <w:shd w:val="clear" w:color="auto" w:fill="auto"/>
          </w:tcPr>
          <w:p w:rsidR="00B95EA6" w:rsidRDefault="00B95EA6">
            <w:pPr>
              <w:rPr>
                <w:lang w:val="cs-CZ"/>
              </w:rPr>
            </w:pPr>
            <w:r>
              <w:rPr>
                <w:lang w:val="cs-CZ"/>
              </w:rPr>
              <w:t>(20).</w:t>
            </w:r>
          </w:p>
        </w:tc>
      </w:tr>
      <w:tr w:rsidR="00B95EA6" w:rsidTr="00A26A8C">
        <w:tc>
          <w:tcPr>
            <w:tcW w:w="0" w:type="auto"/>
            <w:shd w:val="clear" w:color="auto" w:fill="auto"/>
          </w:tcPr>
          <w:p w:rsidR="00B95EA6" w:rsidRDefault="00B95EA6">
            <w:pPr>
              <w:rPr>
                <w:lang w:val="en-GB"/>
              </w:rPr>
            </w:pPr>
            <w:r>
              <w:rPr>
                <w:rStyle w:val="SegmentID"/>
                <w:lang w:val="en-GB"/>
              </w:rPr>
              <w:t>91</w:t>
            </w:r>
            <w:r>
              <w:rPr>
                <w:rStyle w:val="TransUnitID"/>
                <w:lang w:val="en-GB"/>
              </w:rPr>
              <w:t>2401ca5b-6919-4e99-a01d-8895178274e9</w:t>
            </w:r>
          </w:p>
        </w:tc>
        <w:tc>
          <w:tcPr>
            <w:tcW w:w="0" w:type="auto"/>
            <w:shd w:val="clear" w:color="auto" w:fill="auto"/>
          </w:tcPr>
          <w:p w:rsidR="00B95EA6" w:rsidRDefault="00B95EA6">
            <w:pPr>
              <w:rPr>
                <w:lang w:val="en-GB"/>
              </w:rPr>
            </w:pPr>
            <w:r>
              <w:rPr>
                <w:lang w:val="en-GB"/>
              </w:rPr>
              <w:t>Member States should adopt coherent national roadmaps to facilitate the use of the 700 MHz frequency band for terrestrial wireless broadband electronic communications services while ensuring continuity for the television broadcasting services that vacate the band.</w:t>
            </w:r>
          </w:p>
        </w:tc>
        <w:tc>
          <w:tcPr>
            <w:tcW w:w="0" w:type="auto"/>
            <w:shd w:val="clear" w:color="auto" w:fill="auto"/>
          </w:tcPr>
          <w:p w:rsidR="00B95EA6" w:rsidRDefault="00B95EA6">
            <w:pPr>
              <w:rPr>
                <w:lang w:val="cs-CZ"/>
              </w:rPr>
            </w:pPr>
            <w:r>
              <w:rPr>
                <w:lang w:val="cs-CZ"/>
              </w:rPr>
              <w:t xml:space="preserve">Členské státy by měly přijmout vnitrostátních plánů na podporu důsledného využívání kmitočtového pásma 700 MHz pro zemské bezdrátové širokopásmové služby elektronických komunikací a současně zajistit dostupnost této služby pro televizní vysílání </w:t>
            </w:r>
            <w:proofErr w:type="spellStart"/>
            <w:r>
              <w:rPr>
                <w:lang w:val="cs-CZ"/>
              </w:rPr>
              <w:t>vacate</w:t>
            </w:r>
            <w:proofErr w:type="spellEnd"/>
            <w:r>
              <w:rPr>
                <w:lang w:val="cs-CZ"/>
              </w:rPr>
              <w:t xml:space="preserve"> pásku.</w:t>
            </w:r>
          </w:p>
        </w:tc>
      </w:tr>
      <w:tr w:rsidR="00B95EA6" w:rsidTr="00A26A8C">
        <w:tc>
          <w:tcPr>
            <w:tcW w:w="0" w:type="auto"/>
            <w:shd w:val="clear" w:color="auto" w:fill="auto"/>
          </w:tcPr>
          <w:p w:rsidR="00B95EA6" w:rsidRDefault="00B95EA6">
            <w:pPr>
              <w:rPr>
                <w:lang w:val="en-GB"/>
              </w:rPr>
            </w:pPr>
            <w:r>
              <w:rPr>
                <w:rStyle w:val="SegmentID"/>
                <w:lang w:val="en-GB"/>
              </w:rPr>
              <w:t>92</w:t>
            </w:r>
            <w:r>
              <w:rPr>
                <w:rStyle w:val="TransUnitID"/>
                <w:lang w:val="en-GB"/>
              </w:rPr>
              <w:t>2401ca5b-6919-4e99-a01d-8895178274e9</w:t>
            </w:r>
          </w:p>
        </w:tc>
        <w:tc>
          <w:tcPr>
            <w:tcW w:w="0" w:type="auto"/>
            <w:shd w:val="clear" w:color="auto" w:fill="auto"/>
          </w:tcPr>
          <w:p w:rsidR="00B95EA6" w:rsidRDefault="00B95EA6">
            <w:pPr>
              <w:rPr>
                <w:lang w:val="en-GB"/>
              </w:rPr>
            </w:pPr>
            <w:r>
              <w:rPr>
                <w:lang w:val="en-GB"/>
              </w:rPr>
              <w:t>Once such national roadmaps have been adopted, Member States should make them available in a transparent manner within the Union.</w:t>
            </w:r>
          </w:p>
        </w:tc>
        <w:tc>
          <w:tcPr>
            <w:tcW w:w="0" w:type="auto"/>
            <w:shd w:val="clear" w:color="auto" w:fill="auto"/>
          </w:tcPr>
          <w:p w:rsidR="00B95EA6" w:rsidRDefault="00B95EA6">
            <w:pPr>
              <w:rPr>
                <w:lang w:val="cs-CZ"/>
              </w:rPr>
            </w:pPr>
            <w:r>
              <w:rPr>
                <w:lang w:val="cs-CZ"/>
              </w:rPr>
              <w:t>Poté, co bylo přijato jako vnitrostátních plánů, které by měly členské státy předložit dostupný transparentním způsobem, který je v Unii.</w:t>
            </w:r>
          </w:p>
        </w:tc>
      </w:tr>
      <w:tr w:rsidR="00B95EA6" w:rsidTr="00A26A8C">
        <w:tc>
          <w:tcPr>
            <w:tcW w:w="0" w:type="auto"/>
            <w:shd w:val="clear" w:color="auto" w:fill="auto"/>
          </w:tcPr>
          <w:p w:rsidR="00B95EA6" w:rsidRDefault="00B95EA6">
            <w:pPr>
              <w:rPr>
                <w:lang w:val="en-GB"/>
              </w:rPr>
            </w:pPr>
            <w:r>
              <w:rPr>
                <w:rStyle w:val="SegmentID"/>
                <w:lang w:val="en-GB"/>
              </w:rPr>
              <w:t>93</w:t>
            </w:r>
            <w:r>
              <w:rPr>
                <w:rStyle w:val="TransUnitID"/>
                <w:lang w:val="en-GB"/>
              </w:rPr>
              <w:t>2401ca5b-6919-4e99-a01d-8895178274e9</w:t>
            </w:r>
          </w:p>
        </w:tc>
        <w:tc>
          <w:tcPr>
            <w:tcW w:w="0" w:type="auto"/>
            <w:shd w:val="clear" w:color="auto" w:fill="auto"/>
          </w:tcPr>
          <w:p w:rsidR="00B95EA6" w:rsidRDefault="00B95EA6">
            <w:pPr>
              <w:rPr>
                <w:lang w:val="en-GB"/>
              </w:rPr>
            </w:pPr>
            <w:r>
              <w:rPr>
                <w:lang w:val="en-GB"/>
              </w:rPr>
              <w:t xml:space="preserve">The national roadmaps should cover activities and timescales for frequency </w:t>
            </w:r>
            <w:proofErr w:type="spellStart"/>
            <w:r>
              <w:rPr>
                <w:lang w:val="en-GB"/>
              </w:rPr>
              <w:t>replanning</w:t>
            </w:r>
            <w:proofErr w:type="spellEnd"/>
            <w:r>
              <w:rPr>
                <w:lang w:val="en-GB"/>
              </w:rPr>
              <w:t>, technical developments for network and end-user equipment, coexistence between radio and non-radio equipment, existing and new authorisation regimes, mechanisms to avoid harmful interference with spectrum users in adjacent bands and information on the possibility of compensation for migration costs, where such costs would arise, in order to avoid, inter alia, costs for end users or broadcasters.</w:t>
            </w:r>
          </w:p>
        </w:tc>
        <w:tc>
          <w:tcPr>
            <w:tcW w:w="0" w:type="auto"/>
            <w:shd w:val="clear" w:color="auto" w:fill="auto"/>
          </w:tcPr>
          <w:p w:rsidR="00B95EA6" w:rsidRDefault="00B95EA6">
            <w:pPr>
              <w:rPr>
                <w:lang w:val="cs-CZ"/>
              </w:rPr>
            </w:pPr>
            <w:r>
              <w:rPr>
                <w:lang w:val="cs-CZ"/>
              </w:rPr>
              <w:t xml:space="preserve">vnitrostátních plánů činnosti by měly zahrnovat </w:t>
            </w:r>
            <w:proofErr w:type="spellStart"/>
            <w:r>
              <w:rPr>
                <w:lang w:val="cs-CZ"/>
              </w:rPr>
              <w:t>replanning</w:t>
            </w:r>
            <w:proofErr w:type="spellEnd"/>
            <w:r>
              <w:rPr>
                <w:lang w:val="cs-CZ"/>
              </w:rPr>
              <w:t>, četnost a lhůty pro technický vývoj pro zařízení koncových uživatelů a sítí rozhlasového a non-</w:t>
            </w:r>
            <w:proofErr w:type="spellStart"/>
            <w:r>
              <w:rPr>
                <w:lang w:val="cs-CZ"/>
              </w:rPr>
              <w:t>radio</w:t>
            </w:r>
            <w:proofErr w:type="spellEnd"/>
            <w:r>
              <w:rPr>
                <w:lang w:val="cs-CZ"/>
              </w:rPr>
              <w:t xml:space="preserve"> koexistence se stávajícími a vybavení pro povolení nové režimy, s cílem vyhnout se škodlivým zásahy uživatelů spektra v přilehlých pásmech a informace o tom, že náhrada nákladů, pokud tyto náklady, které by vznikly, aby se zabránilo, mimo jiné na náklady na konci nebo uživatelům.</w:t>
            </w:r>
          </w:p>
        </w:tc>
      </w:tr>
      <w:tr w:rsidR="00B95EA6" w:rsidTr="00A26A8C">
        <w:tc>
          <w:tcPr>
            <w:tcW w:w="0" w:type="auto"/>
            <w:shd w:val="clear" w:color="auto" w:fill="auto"/>
          </w:tcPr>
          <w:p w:rsidR="00B95EA6" w:rsidRDefault="00B95EA6">
            <w:pPr>
              <w:rPr>
                <w:lang w:val="en-GB"/>
              </w:rPr>
            </w:pPr>
            <w:r>
              <w:rPr>
                <w:rStyle w:val="SegmentID"/>
                <w:lang w:val="en-GB"/>
              </w:rPr>
              <w:t>94</w:t>
            </w:r>
            <w:r>
              <w:rPr>
                <w:rStyle w:val="TransUnitID"/>
                <w:lang w:val="en-GB"/>
              </w:rPr>
              <w:t>2401ca5b-6919-4e99-a01d-8895178274e9</w:t>
            </w:r>
          </w:p>
        </w:tc>
        <w:tc>
          <w:tcPr>
            <w:tcW w:w="0" w:type="auto"/>
            <w:shd w:val="clear" w:color="auto" w:fill="auto"/>
          </w:tcPr>
          <w:p w:rsidR="00B95EA6" w:rsidRDefault="00B95EA6">
            <w:pPr>
              <w:rPr>
                <w:lang w:val="en-GB"/>
              </w:rPr>
            </w:pPr>
            <w:r>
              <w:rPr>
                <w:lang w:val="en-GB"/>
              </w:rPr>
              <w:t>Where Member States intend to maintain DTT, the national roadmaps should consider the option of facilitating upgrades of broadcasting equipment to more spectrum-efficient technologies, such as advanced video formats (e.g. HEVC) or signal transmission technologies (e.g. DVB-T2).</w:t>
            </w:r>
          </w:p>
        </w:tc>
        <w:tc>
          <w:tcPr>
            <w:tcW w:w="0" w:type="auto"/>
            <w:shd w:val="clear" w:color="auto" w:fill="auto"/>
          </w:tcPr>
          <w:p w:rsidR="00B95EA6" w:rsidRDefault="00B95EA6">
            <w:pPr>
              <w:rPr>
                <w:lang w:val="cs-CZ"/>
              </w:rPr>
            </w:pPr>
            <w:r>
              <w:rPr>
                <w:lang w:val="cs-CZ"/>
              </w:rPr>
              <w:t xml:space="preserve">V případě členských států, hodlají tvrdí, že DTT a vnitrostátních plánů, měly by zvážit možnost, aby usnadnily další Modernizace vysílacích zařízení </w:t>
            </w:r>
            <w:proofErr w:type="spellStart"/>
            <w:r>
              <w:rPr>
                <w:lang w:val="cs-CZ"/>
              </w:rPr>
              <w:t>spectrum-efficient</w:t>
            </w:r>
            <w:proofErr w:type="spellEnd"/>
            <w:r>
              <w:rPr>
                <w:lang w:val="cs-CZ"/>
              </w:rPr>
              <w:t xml:space="preserve"> vyspělých technologií, jako např. formáty video </w:t>
            </w:r>
            <w:proofErr w:type="spellStart"/>
            <w:r>
              <w:rPr>
                <w:lang w:val="cs-CZ"/>
              </w:rPr>
              <w:t>signal</w:t>
            </w:r>
            <w:proofErr w:type="spellEnd"/>
            <w:r>
              <w:rPr>
                <w:lang w:val="cs-CZ"/>
              </w:rPr>
              <w:t xml:space="preserve"> (</w:t>
            </w:r>
            <w:proofErr w:type="spellStart"/>
            <w:r>
              <w:rPr>
                <w:lang w:val="cs-CZ"/>
              </w:rPr>
              <w:t>hevc</w:t>
            </w:r>
            <w:proofErr w:type="spellEnd"/>
            <w:r>
              <w:rPr>
                <w:lang w:val="cs-CZ"/>
              </w:rPr>
              <w:t>) a přenosu technologií (např. DVB-T2.</w:t>
            </w:r>
          </w:p>
        </w:tc>
      </w:tr>
      <w:tr w:rsidR="00B95EA6" w:rsidTr="00A26A8C">
        <w:tc>
          <w:tcPr>
            <w:tcW w:w="0" w:type="auto"/>
            <w:shd w:val="clear" w:color="auto" w:fill="auto"/>
          </w:tcPr>
          <w:p w:rsidR="00B95EA6" w:rsidRDefault="00B95EA6">
            <w:pPr>
              <w:rPr>
                <w:lang w:val="en-GB"/>
              </w:rPr>
            </w:pPr>
            <w:r>
              <w:rPr>
                <w:rStyle w:val="SegmentID"/>
                <w:lang w:val="en-GB"/>
              </w:rPr>
              <w:t>95</w:t>
            </w:r>
            <w:r>
              <w:rPr>
                <w:rStyle w:val="TransUnitID"/>
                <w:lang w:val="en-GB"/>
              </w:rPr>
              <w:t>b433fa5b-dbc8-4b64-9dcc-d57a290a5d4b</w:t>
            </w:r>
          </w:p>
        </w:tc>
        <w:tc>
          <w:tcPr>
            <w:tcW w:w="0" w:type="auto"/>
            <w:shd w:val="clear" w:color="auto" w:fill="auto"/>
          </w:tcPr>
          <w:p w:rsidR="00B95EA6" w:rsidRDefault="00B95EA6">
            <w:pPr>
              <w:rPr>
                <w:lang w:val="en-GB"/>
              </w:rPr>
            </w:pPr>
            <w:r>
              <w:rPr>
                <w:lang w:val="en-GB"/>
              </w:rPr>
              <w:t>(21)</w:t>
            </w:r>
          </w:p>
        </w:tc>
        <w:tc>
          <w:tcPr>
            <w:tcW w:w="0" w:type="auto"/>
            <w:shd w:val="clear" w:color="auto" w:fill="auto"/>
          </w:tcPr>
          <w:p w:rsidR="00B95EA6" w:rsidRDefault="00B95EA6">
            <w:pPr>
              <w:rPr>
                <w:lang w:val="cs-CZ"/>
              </w:rPr>
            </w:pPr>
            <w:r>
              <w:rPr>
                <w:lang w:val="cs-CZ"/>
              </w:rPr>
              <w:t>(21)</w:t>
            </w:r>
          </w:p>
        </w:tc>
      </w:tr>
      <w:tr w:rsidR="00B95EA6" w:rsidTr="00A26A8C">
        <w:tc>
          <w:tcPr>
            <w:tcW w:w="0" w:type="auto"/>
            <w:shd w:val="clear" w:color="auto" w:fill="auto"/>
          </w:tcPr>
          <w:p w:rsidR="00B95EA6" w:rsidRDefault="00B95EA6">
            <w:pPr>
              <w:rPr>
                <w:lang w:val="en-GB"/>
              </w:rPr>
            </w:pPr>
            <w:r>
              <w:rPr>
                <w:rStyle w:val="SegmentID"/>
                <w:lang w:val="en-GB"/>
              </w:rPr>
              <w:t>96</w:t>
            </w:r>
            <w:r>
              <w:rPr>
                <w:rStyle w:val="TransUnitID"/>
                <w:lang w:val="en-GB"/>
              </w:rPr>
              <w:t>852fae71-f51f-4dfd-ae23-aa055fc9a0d2</w:t>
            </w:r>
          </w:p>
        </w:tc>
        <w:tc>
          <w:tcPr>
            <w:tcW w:w="0" w:type="auto"/>
            <w:shd w:val="clear" w:color="auto" w:fill="auto"/>
          </w:tcPr>
          <w:p w:rsidR="00B95EA6" w:rsidRDefault="00B95EA6">
            <w:pPr>
              <w:rPr>
                <w:lang w:val="en-GB"/>
              </w:rPr>
            </w:pPr>
            <w:r>
              <w:rPr>
                <w:rStyle w:val="Tag"/>
                <w:lang w:val="en-GB"/>
              </w:rPr>
              <w:t>&lt;261&gt;</w:t>
            </w:r>
            <w:r>
              <w:rPr>
                <w:lang w:val="en-GB"/>
              </w:rPr>
              <w:t>The scope of and mechanism for possible compensation for completing the transition in spectrum use, in particular for end users, should be analysed in accordance with the relevant national provisions, as provided for by Article 14 of Directive 2002/20/EC of the European Parliament and of the Council</w:t>
            </w:r>
            <w:r>
              <w:rPr>
                <w:rStyle w:val="Tag"/>
                <w:lang w:val="en-GB"/>
              </w:rPr>
              <w:t>&lt;/261&gt;&lt;262&gt;</w:t>
            </w:r>
            <w:r>
              <w:rPr>
                <w:lang w:val="en-GB"/>
              </w:rPr>
              <w:t> (6)</w:t>
            </w:r>
            <w:r>
              <w:rPr>
                <w:rStyle w:val="Tag"/>
                <w:lang w:val="en-GB"/>
              </w:rPr>
              <w:t>&lt;/262&gt;&lt;275&gt;</w:t>
            </w:r>
            <w:r>
              <w:rPr>
                <w:lang w:val="en-GB"/>
              </w:rPr>
              <w:t>, and should be consistent with Articles 107 and 108 of the Treaty on the Functioning of the European Union in order, for example, to facilitate the transition to more spectrum-efficient technologies.</w:t>
            </w:r>
            <w:r>
              <w:rPr>
                <w:rStyle w:val="Tag"/>
                <w:lang w:val="en-GB"/>
              </w:rPr>
              <w:t>&lt;/275&gt;</w:t>
            </w:r>
          </w:p>
        </w:tc>
        <w:tc>
          <w:tcPr>
            <w:tcW w:w="0" w:type="auto"/>
            <w:shd w:val="clear" w:color="auto" w:fill="auto"/>
          </w:tcPr>
          <w:p w:rsidR="00B95EA6" w:rsidRDefault="00B95EA6">
            <w:pPr>
              <w:rPr>
                <w:lang w:val="cs-CZ"/>
              </w:rPr>
            </w:pPr>
            <w:r>
              <w:rPr>
                <w:lang w:val="cs-CZ"/>
              </w:rPr>
              <w:t xml:space="preserve">Oblast působnosti a je odpovědný za vyrovnávací mechanismus pro přechod na využívání spektra, zejména pro konečné uživatele, je nutno analyzovat podle příslušných vnitrostátních právních předpisů, jak je stanoveno v článku 14 směrnice 2002/20/ES Evropského parlamentu a Rady, (6), a měla by být v souladu s články 107 a 108 Smlouvy o fungování Evropské unie, například pro snazší přejít k </w:t>
            </w:r>
            <w:proofErr w:type="spellStart"/>
            <w:r>
              <w:rPr>
                <w:lang w:val="cs-CZ"/>
              </w:rPr>
              <w:t>spectrum-efficient</w:t>
            </w:r>
            <w:proofErr w:type="spellEnd"/>
            <w:r>
              <w:rPr>
                <w:lang w:val="cs-CZ"/>
              </w:rPr>
              <w:t xml:space="preserve"> technologií.</w:t>
            </w:r>
          </w:p>
        </w:tc>
      </w:tr>
      <w:tr w:rsidR="00B95EA6" w:rsidTr="00A26A8C">
        <w:tc>
          <w:tcPr>
            <w:tcW w:w="0" w:type="auto"/>
            <w:shd w:val="clear" w:color="auto" w:fill="auto"/>
          </w:tcPr>
          <w:p w:rsidR="00B95EA6" w:rsidRDefault="00B95EA6">
            <w:pPr>
              <w:rPr>
                <w:lang w:val="en-GB"/>
              </w:rPr>
            </w:pPr>
            <w:r>
              <w:rPr>
                <w:rStyle w:val="SegmentID"/>
                <w:lang w:val="en-GB"/>
              </w:rPr>
              <w:t>97</w:t>
            </w:r>
            <w:r>
              <w:rPr>
                <w:rStyle w:val="TransUnitID"/>
                <w:lang w:val="en-GB"/>
              </w:rPr>
              <w:t>852fae71-f51f-4dfd-ae23-aa055fc9a0d2</w:t>
            </w:r>
          </w:p>
        </w:tc>
        <w:tc>
          <w:tcPr>
            <w:tcW w:w="0" w:type="auto"/>
            <w:shd w:val="clear" w:color="auto" w:fill="auto"/>
          </w:tcPr>
          <w:p w:rsidR="00B95EA6" w:rsidRDefault="00B95EA6">
            <w:pPr>
              <w:rPr>
                <w:lang w:val="en-GB"/>
              </w:rPr>
            </w:pPr>
            <w:r>
              <w:rPr>
                <w:lang w:val="en-GB"/>
              </w:rPr>
              <w:t>The Commission should be able to provide guidance to a Member State, on its request, to facilitate the transition in spectrum use.</w:t>
            </w:r>
          </w:p>
        </w:tc>
        <w:tc>
          <w:tcPr>
            <w:tcW w:w="0" w:type="auto"/>
            <w:shd w:val="clear" w:color="auto" w:fill="auto"/>
          </w:tcPr>
          <w:p w:rsidR="00B95EA6" w:rsidRDefault="00B95EA6">
            <w:pPr>
              <w:rPr>
                <w:lang w:val="cs-CZ"/>
              </w:rPr>
            </w:pPr>
            <w:r>
              <w:rPr>
                <w:lang w:val="cs-CZ"/>
              </w:rPr>
              <w:t>Komise by měla být schopni poskytnout vodítko k členskému státu, na žádost, aby usnadnily přechodu na využívání spektra.</w:t>
            </w:r>
          </w:p>
        </w:tc>
      </w:tr>
      <w:tr w:rsidR="00B95EA6" w:rsidTr="00A26A8C">
        <w:tc>
          <w:tcPr>
            <w:tcW w:w="0" w:type="auto"/>
            <w:shd w:val="clear" w:color="auto" w:fill="auto"/>
          </w:tcPr>
          <w:p w:rsidR="00B95EA6" w:rsidRDefault="00B95EA6">
            <w:pPr>
              <w:rPr>
                <w:lang w:val="en-GB"/>
              </w:rPr>
            </w:pPr>
            <w:r>
              <w:rPr>
                <w:rStyle w:val="SegmentID"/>
                <w:lang w:val="en-GB"/>
              </w:rPr>
              <w:t>98</w:t>
            </w:r>
            <w:r>
              <w:rPr>
                <w:rStyle w:val="TransUnitID"/>
                <w:lang w:val="en-GB"/>
              </w:rPr>
              <w:t>20a8be98-639a-4986-b4d3-4a02d090f1d9</w:t>
            </w:r>
          </w:p>
        </w:tc>
        <w:tc>
          <w:tcPr>
            <w:tcW w:w="0" w:type="auto"/>
            <w:shd w:val="clear" w:color="auto" w:fill="auto"/>
          </w:tcPr>
          <w:p w:rsidR="00B95EA6" w:rsidRDefault="00B95EA6">
            <w:pPr>
              <w:rPr>
                <w:lang w:val="en-GB"/>
              </w:rPr>
            </w:pPr>
            <w:r>
              <w:rPr>
                <w:lang w:val="en-GB"/>
              </w:rPr>
              <w:t>http://eur-lex.europa.eu/legal-content/EN/TXT/?qid=1495697061931&amp;uri=CELEX:32017D0899</w:t>
            </w:r>
          </w:p>
        </w:tc>
        <w:tc>
          <w:tcPr>
            <w:tcW w:w="0" w:type="auto"/>
            <w:shd w:val="clear" w:color="auto" w:fill="auto"/>
          </w:tcPr>
          <w:p w:rsidR="00B95EA6" w:rsidRDefault="00B95EA6">
            <w:pPr>
              <w:rPr>
                <w:lang w:val="cs-CZ"/>
              </w:rPr>
            </w:pPr>
            <w:r>
              <w:rPr>
                <w:lang w:val="cs-CZ"/>
              </w:rPr>
              <w:t>http://eur-lex.europa.eu/legal-content/EN/TXT/?qid=1495697061931&amp;uri=CELEX:32017D0899.</w:t>
            </w:r>
          </w:p>
        </w:tc>
      </w:tr>
      <w:tr w:rsidR="00B95EA6" w:rsidTr="00A26A8C">
        <w:tc>
          <w:tcPr>
            <w:tcW w:w="0" w:type="auto"/>
            <w:shd w:val="clear" w:color="auto" w:fill="auto"/>
          </w:tcPr>
          <w:p w:rsidR="00B95EA6" w:rsidRDefault="00B95EA6">
            <w:pPr>
              <w:rPr>
                <w:lang w:val="en-GB"/>
              </w:rPr>
            </w:pPr>
            <w:r>
              <w:rPr>
                <w:rStyle w:val="SegmentID"/>
                <w:lang w:val="en-GB"/>
              </w:rPr>
              <w:t>99</w:t>
            </w:r>
            <w:r>
              <w:rPr>
                <w:rStyle w:val="TransUnitID"/>
                <w:lang w:val="en-GB"/>
              </w:rPr>
              <w:t>bee06801-349d-48c4-ba25-ab2ffbe6fce7</w:t>
            </w:r>
          </w:p>
        </w:tc>
        <w:tc>
          <w:tcPr>
            <w:tcW w:w="0" w:type="auto"/>
            <w:shd w:val="clear" w:color="auto" w:fill="auto"/>
          </w:tcPr>
          <w:p w:rsidR="00B95EA6" w:rsidRDefault="00B95EA6">
            <w:pPr>
              <w:rPr>
                <w:lang w:val="en-GB"/>
              </w:rPr>
            </w:pPr>
            <w:r>
              <w:rPr>
                <w:lang w:val="en-GB"/>
              </w:rPr>
              <w:t>(22)</w:t>
            </w:r>
          </w:p>
        </w:tc>
        <w:tc>
          <w:tcPr>
            <w:tcW w:w="0" w:type="auto"/>
            <w:shd w:val="clear" w:color="auto" w:fill="auto"/>
          </w:tcPr>
          <w:p w:rsidR="00B95EA6" w:rsidRDefault="00B95EA6">
            <w:pPr>
              <w:rPr>
                <w:lang w:val="cs-CZ"/>
              </w:rPr>
            </w:pPr>
            <w:r>
              <w:rPr>
                <w:lang w:val="cs-CZ"/>
              </w:rPr>
              <w:t>(v %)</w:t>
            </w:r>
          </w:p>
        </w:tc>
      </w:tr>
      <w:tr w:rsidR="00B95EA6" w:rsidTr="00A26A8C">
        <w:tc>
          <w:tcPr>
            <w:tcW w:w="0" w:type="auto"/>
            <w:shd w:val="clear" w:color="auto" w:fill="auto"/>
          </w:tcPr>
          <w:p w:rsidR="00B95EA6" w:rsidRDefault="00B95EA6">
            <w:pPr>
              <w:rPr>
                <w:lang w:val="en-GB"/>
              </w:rPr>
            </w:pPr>
            <w:r>
              <w:rPr>
                <w:rStyle w:val="SegmentID"/>
                <w:lang w:val="en-GB"/>
              </w:rPr>
              <w:t>100</w:t>
            </w:r>
            <w:r>
              <w:rPr>
                <w:rStyle w:val="TransUnitID"/>
                <w:lang w:val="en-GB"/>
              </w:rPr>
              <w:t>45faa102-9fe1-4e52-aa7b-1c56bf8e5a7e</w:t>
            </w:r>
          </w:p>
        </w:tc>
        <w:tc>
          <w:tcPr>
            <w:tcW w:w="0" w:type="auto"/>
            <w:shd w:val="clear" w:color="auto" w:fill="auto"/>
          </w:tcPr>
          <w:p w:rsidR="00B95EA6" w:rsidRDefault="00B95EA6">
            <w:pPr>
              <w:rPr>
                <w:lang w:val="en-GB"/>
              </w:rPr>
            </w:pPr>
            <w:r>
              <w:rPr>
                <w:lang w:val="en-GB"/>
              </w:rPr>
              <w:t>The Commission should, in cooperation with the Member States, report to the European Parliament and to the Council on developments in the use of the sub-700 MHz frequency band, with a view to ensuring efficient use of spectrum, pursuant to the applicable Union law.</w:t>
            </w:r>
          </w:p>
        </w:tc>
        <w:tc>
          <w:tcPr>
            <w:tcW w:w="0" w:type="auto"/>
            <w:shd w:val="clear" w:color="auto" w:fill="auto"/>
          </w:tcPr>
          <w:p w:rsidR="00B95EA6" w:rsidRDefault="00B95EA6">
            <w:pPr>
              <w:rPr>
                <w:lang w:val="cs-CZ"/>
              </w:rPr>
            </w:pPr>
            <w:r>
              <w:rPr>
                <w:lang w:val="cs-CZ"/>
              </w:rPr>
              <w:t>Komise by ve spolupráci s členskými státy, informuje Evropský parlament a Radu o vývoji při použití sub-700 MHz, s cílem zajistit efektivní využívání spektra v souladu s příslušnými právními předpisy Unie.</w:t>
            </w:r>
          </w:p>
        </w:tc>
      </w:tr>
      <w:tr w:rsidR="00B95EA6" w:rsidTr="00A26A8C">
        <w:tc>
          <w:tcPr>
            <w:tcW w:w="0" w:type="auto"/>
            <w:shd w:val="clear" w:color="auto" w:fill="auto"/>
          </w:tcPr>
          <w:p w:rsidR="00B95EA6" w:rsidRDefault="00B95EA6">
            <w:pPr>
              <w:rPr>
                <w:lang w:val="en-GB"/>
              </w:rPr>
            </w:pPr>
            <w:r>
              <w:rPr>
                <w:rStyle w:val="SegmentID"/>
                <w:lang w:val="en-GB"/>
              </w:rPr>
              <w:lastRenderedPageBreak/>
              <w:t>101</w:t>
            </w:r>
            <w:r>
              <w:rPr>
                <w:rStyle w:val="TransUnitID"/>
                <w:lang w:val="en-GB"/>
              </w:rPr>
              <w:t>45faa102-9fe1-4e52-aa7b-1c56bf8e5a7e</w:t>
            </w:r>
          </w:p>
        </w:tc>
        <w:tc>
          <w:tcPr>
            <w:tcW w:w="0" w:type="auto"/>
            <w:shd w:val="clear" w:color="auto" w:fill="auto"/>
          </w:tcPr>
          <w:p w:rsidR="00B95EA6" w:rsidRDefault="00B95EA6">
            <w:pPr>
              <w:rPr>
                <w:lang w:val="en-GB"/>
              </w:rPr>
            </w:pPr>
            <w:r>
              <w:rPr>
                <w:lang w:val="en-GB"/>
              </w:rPr>
              <w:t>The Commission should take into account the social, economic, cultural and international aspects affecting the use of the sub-700 MHz frequency band, further technological developments, changes in consumer behaviour and the requirements in connectivity to foster growth and innovation in the Union.</w:t>
            </w:r>
          </w:p>
        </w:tc>
        <w:tc>
          <w:tcPr>
            <w:tcW w:w="0" w:type="auto"/>
            <w:shd w:val="clear" w:color="auto" w:fill="auto"/>
          </w:tcPr>
          <w:p w:rsidR="00B95EA6" w:rsidRDefault="00B95EA6">
            <w:pPr>
              <w:rPr>
                <w:lang w:val="cs-CZ"/>
              </w:rPr>
            </w:pPr>
            <w:r>
              <w:rPr>
                <w:lang w:val="cs-CZ"/>
              </w:rPr>
              <w:t>Komise měla vzít v potaz sociální, hospodářské, kulturní a mezinárodní aspekty týkající se sub-700 MHz, technologický vývoj, změny chování spotřebitelů a požadavky na připojení na podporu hospodářského růstu a inovací v Unii.</w:t>
            </w:r>
          </w:p>
        </w:tc>
      </w:tr>
      <w:tr w:rsidR="00B95EA6" w:rsidTr="00A26A8C">
        <w:tc>
          <w:tcPr>
            <w:tcW w:w="0" w:type="auto"/>
            <w:shd w:val="clear" w:color="auto" w:fill="auto"/>
          </w:tcPr>
          <w:p w:rsidR="00B95EA6" w:rsidRDefault="00B95EA6">
            <w:pPr>
              <w:rPr>
                <w:lang w:val="en-GB"/>
              </w:rPr>
            </w:pPr>
            <w:r>
              <w:rPr>
                <w:rStyle w:val="SegmentID"/>
                <w:lang w:val="en-GB"/>
              </w:rPr>
              <w:t>102</w:t>
            </w:r>
            <w:r>
              <w:rPr>
                <w:rStyle w:val="TransUnitID"/>
                <w:lang w:val="en-GB"/>
              </w:rPr>
              <w:t>5705e2ca-a901-42e6-a866-cd86e967d2f0</w:t>
            </w:r>
          </w:p>
        </w:tc>
        <w:tc>
          <w:tcPr>
            <w:tcW w:w="0" w:type="auto"/>
            <w:shd w:val="clear" w:color="auto" w:fill="auto"/>
          </w:tcPr>
          <w:p w:rsidR="00B95EA6" w:rsidRDefault="00B95EA6">
            <w:pPr>
              <w:rPr>
                <w:lang w:val="en-GB"/>
              </w:rPr>
            </w:pPr>
            <w:r>
              <w:rPr>
                <w:lang w:val="en-GB"/>
              </w:rPr>
              <w:t>(23)</w:t>
            </w:r>
          </w:p>
        </w:tc>
        <w:tc>
          <w:tcPr>
            <w:tcW w:w="0" w:type="auto"/>
            <w:shd w:val="clear" w:color="auto" w:fill="auto"/>
          </w:tcPr>
          <w:p w:rsidR="00B95EA6" w:rsidRDefault="00B95EA6">
            <w:pPr>
              <w:rPr>
                <w:lang w:val="cs-CZ"/>
              </w:rPr>
            </w:pPr>
            <w:r>
              <w:rPr>
                <w:lang w:val="cs-CZ"/>
              </w:rPr>
              <w:t>(23).</w:t>
            </w:r>
          </w:p>
        </w:tc>
      </w:tr>
      <w:tr w:rsidR="00B95EA6" w:rsidTr="00A26A8C">
        <w:tc>
          <w:tcPr>
            <w:tcW w:w="0" w:type="auto"/>
            <w:shd w:val="clear" w:color="auto" w:fill="auto"/>
          </w:tcPr>
          <w:p w:rsidR="00B95EA6" w:rsidRDefault="00B95EA6">
            <w:pPr>
              <w:rPr>
                <w:lang w:val="en-GB"/>
              </w:rPr>
            </w:pPr>
            <w:r>
              <w:rPr>
                <w:rStyle w:val="SegmentID"/>
                <w:lang w:val="en-GB"/>
              </w:rPr>
              <w:t>103</w:t>
            </w:r>
            <w:r>
              <w:rPr>
                <w:rStyle w:val="TransUnitID"/>
                <w:lang w:val="en-GB"/>
              </w:rPr>
              <w:t>2739d4b7-7031-4da7-ba75-59de4d046a34</w:t>
            </w:r>
          </w:p>
        </w:tc>
        <w:tc>
          <w:tcPr>
            <w:tcW w:w="0" w:type="auto"/>
            <w:shd w:val="clear" w:color="auto" w:fill="auto"/>
          </w:tcPr>
          <w:p w:rsidR="00B95EA6" w:rsidRDefault="00B95EA6">
            <w:pPr>
              <w:rPr>
                <w:lang w:val="en-GB"/>
              </w:rPr>
            </w:pPr>
            <w:r>
              <w:rPr>
                <w:lang w:val="en-GB"/>
              </w:rPr>
              <w:t>Since the objective of this Decision, namely to ensure a coordinated approach to the use of the 470-790 MHz frequency band in the Union in accordance with common objectives, cannot be sufficiently achieved by the Member States but can rather, by reason of its scale and effects, be better achieved at Union level, the Union may adopt measures in accordance with the principle of subsidiarity as set out in Article 5 of the Treaty on European Union.</w:t>
            </w:r>
          </w:p>
        </w:tc>
        <w:tc>
          <w:tcPr>
            <w:tcW w:w="0" w:type="auto"/>
            <w:shd w:val="clear" w:color="auto" w:fill="auto"/>
          </w:tcPr>
          <w:p w:rsidR="00B95EA6" w:rsidRDefault="00B95EA6">
            <w:pPr>
              <w:rPr>
                <w:lang w:val="cs-CZ"/>
              </w:rPr>
            </w:pPr>
            <w:r>
              <w:rPr>
                <w:lang w:val="cs-CZ"/>
              </w:rPr>
              <w:t>Jelikož cílů tohoto rozhodnutí, totiž k zajištění Koordinovaný přístup k využívání kmitočtového pásma 470–790 MHz v Unii v souladu s obecnými cíli, nemůže být uspokojivě dosaženo členskými státy, ale spíše jich, z důvodu jeho rozsahu a účinků, může být lépe dosaženo na úrovni Unie, může Unie přijmout opatření v souladu se zásadou subsidiarity stanovenou v článku 5 Smlouvy o Evropské unii.</w:t>
            </w:r>
          </w:p>
        </w:tc>
      </w:tr>
      <w:tr w:rsidR="00B95EA6" w:rsidTr="00A26A8C">
        <w:tc>
          <w:tcPr>
            <w:tcW w:w="0" w:type="auto"/>
            <w:shd w:val="clear" w:color="auto" w:fill="auto"/>
          </w:tcPr>
          <w:p w:rsidR="00B95EA6" w:rsidRDefault="00B95EA6">
            <w:pPr>
              <w:rPr>
                <w:lang w:val="en-GB"/>
              </w:rPr>
            </w:pPr>
            <w:r>
              <w:rPr>
                <w:rStyle w:val="SegmentID"/>
                <w:lang w:val="en-GB"/>
              </w:rPr>
              <w:t>104</w:t>
            </w:r>
            <w:r>
              <w:rPr>
                <w:rStyle w:val="TransUnitID"/>
                <w:lang w:val="en-GB"/>
              </w:rPr>
              <w:t>2739d4b7-7031-4da7-ba75-59de4d046a34</w:t>
            </w:r>
          </w:p>
        </w:tc>
        <w:tc>
          <w:tcPr>
            <w:tcW w:w="0" w:type="auto"/>
            <w:shd w:val="clear" w:color="auto" w:fill="auto"/>
          </w:tcPr>
          <w:p w:rsidR="00B95EA6" w:rsidRDefault="00B95EA6">
            <w:pPr>
              <w:rPr>
                <w:lang w:val="en-GB"/>
              </w:rPr>
            </w:pPr>
            <w:r>
              <w:rPr>
                <w:lang w:val="en-GB"/>
              </w:rPr>
              <w:t>In accordance with the principle of proportionality, as set out in that Article, this Decision does not go beyond what is necessary in order to achieve that objective,</w:t>
            </w:r>
          </w:p>
        </w:tc>
        <w:tc>
          <w:tcPr>
            <w:tcW w:w="0" w:type="auto"/>
            <w:shd w:val="clear" w:color="auto" w:fill="auto"/>
          </w:tcPr>
          <w:p w:rsidR="00B95EA6" w:rsidRDefault="00B95EA6">
            <w:pPr>
              <w:rPr>
                <w:lang w:val="cs-CZ"/>
              </w:rPr>
            </w:pPr>
            <w:r>
              <w:rPr>
                <w:lang w:val="cs-CZ"/>
              </w:rPr>
              <w:t>V souladu se zásadou proporcionality stanovenou v uvedeném článku nepřekračuje toto rozhodnutí rámec toho, co je nezbytné pro dosažení tohoto cíle, a</w:t>
            </w:r>
          </w:p>
        </w:tc>
      </w:tr>
      <w:tr w:rsidR="00B95EA6" w:rsidTr="00A26A8C">
        <w:tc>
          <w:tcPr>
            <w:tcW w:w="0" w:type="auto"/>
            <w:shd w:val="clear" w:color="auto" w:fill="auto"/>
          </w:tcPr>
          <w:p w:rsidR="00B95EA6" w:rsidRDefault="00B95EA6">
            <w:pPr>
              <w:rPr>
                <w:lang w:val="en-GB"/>
              </w:rPr>
            </w:pPr>
            <w:r>
              <w:rPr>
                <w:rStyle w:val="SegmentID"/>
                <w:lang w:val="en-GB"/>
              </w:rPr>
              <w:t>105</w:t>
            </w:r>
            <w:r>
              <w:rPr>
                <w:rStyle w:val="TransUnitID"/>
                <w:lang w:val="en-GB"/>
              </w:rPr>
              <w:t>baf64289-68c4-4a88-a32a-38fa2eb899b0</w:t>
            </w:r>
          </w:p>
        </w:tc>
        <w:tc>
          <w:tcPr>
            <w:tcW w:w="0" w:type="auto"/>
            <w:shd w:val="clear" w:color="auto" w:fill="auto"/>
          </w:tcPr>
          <w:p w:rsidR="00B95EA6" w:rsidRDefault="00B95EA6">
            <w:pPr>
              <w:rPr>
                <w:lang w:val="en-GB"/>
              </w:rPr>
            </w:pPr>
            <w:r>
              <w:rPr>
                <w:lang w:val="en-GB"/>
              </w:rPr>
              <w:t>HAVE ADOPTED THIS DECISION:</w:t>
            </w:r>
          </w:p>
        </w:tc>
        <w:tc>
          <w:tcPr>
            <w:tcW w:w="0" w:type="auto"/>
            <w:shd w:val="clear" w:color="auto" w:fill="auto"/>
          </w:tcPr>
          <w:p w:rsidR="00B95EA6" w:rsidRDefault="00B95EA6">
            <w:pPr>
              <w:rPr>
                <w:lang w:val="cs-CZ"/>
              </w:rPr>
            </w:pPr>
            <w:r>
              <w:rPr>
                <w:lang w:val="cs-CZ"/>
              </w:rPr>
              <w:t>PŘIJALY TOTO ROZHODNUTÍ.</w:t>
            </w:r>
          </w:p>
        </w:tc>
      </w:tr>
      <w:tr w:rsidR="00B95EA6" w:rsidTr="00A26A8C">
        <w:tc>
          <w:tcPr>
            <w:tcW w:w="0" w:type="auto"/>
            <w:shd w:val="clear" w:color="auto" w:fill="auto"/>
          </w:tcPr>
          <w:p w:rsidR="00B95EA6" w:rsidRDefault="00B95EA6">
            <w:pPr>
              <w:rPr>
                <w:lang w:val="en-GB"/>
              </w:rPr>
            </w:pPr>
            <w:r>
              <w:rPr>
                <w:rStyle w:val="SegmentID"/>
                <w:lang w:val="en-GB"/>
              </w:rPr>
              <w:t>106</w:t>
            </w:r>
            <w:r>
              <w:rPr>
                <w:rStyle w:val="TransUnitID"/>
                <w:lang w:val="en-GB"/>
              </w:rPr>
              <w:t>c6189a93-8b31-4ebd-adc2-120cff55dfdd</w:t>
            </w:r>
          </w:p>
        </w:tc>
        <w:tc>
          <w:tcPr>
            <w:tcW w:w="0" w:type="auto"/>
            <w:shd w:val="clear" w:color="auto" w:fill="auto"/>
          </w:tcPr>
          <w:p w:rsidR="00B95EA6" w:rsidRDefault="00B95EA6">
            <w:pPr>
              <w:rPr>
                <w:lang w:val="en-GB"/>
              </w:rPr>
            </w:pPr>
            <w:r>
              <w:rPr>
                <w:lang w:val="en-GB"/>
              </w:rPr>
              <w:t>Article 1</w:t>
            </w:r>
          </w:p>
        </w:tc>
        <w:tc>
          <w:tcPr>
            <w:tcW w:w="0" w:type="auto"/>
            <w:shd w:val="clear" w:color="auto" w:fill="auto"/>
          </w:tcPr>
          <w:p w:rsidR="00B95EA6" w:rsidRDefault="00B95EA6">
            <w:pPr>
              <w:rPr>
                <w:lang w:val="cs-CZ"/>
              </w:rPr>
            </w:pPr>
            <w:r>
              <w:rPr>
                <w:lang w:val="cs-CZ"/>
              </w:rPr>
              <w:t>Článek 1</w:t>
            </w:r>
          </w:p>
        </w:tc>
      </w:tr>
      <w:tr w:rsidR="00B95EA6" w:rsidTr="00A26A8C">
        <w:tc>
          <w:tcPr>
            <w:tcW w:w="0" w:type="auto"/>
            <w:shd w:val="clear" w:color="auto" w:fill="auto"/>
          </w:tcPr>
          <w:p w:rsidR="00B95EA6" w:rsidRDefault="00B95EA6">
            <w:pPr>
              <w:rPr>
                <w:lang w:val="en-GB"/>
              </w:rPr>
            </w:pPr>
            <w:r>
              <w:rPr>
                <w:rStyle w:val="SegmentID"/>
                <w:lang w:val="en-GB"/>
              </w:rPr>
              <w:t>107</w:t>
            </w:r>
            <w:r>
              <w:rPr>
                <w:rStyle w:val="TransUnitID"/>
                <w:lang w:val="en-GB"/>
              </w:rPr>
              <w:t>4c618f5f-3b00-4274-8349-3ed138b227b7</w:t>
            </w:r>
          </w:p>
        </w:tc>
        <w:tc>
          <w:tcPr>
            <w:tcW w:w="0" w:type="auto"/>
            <w:shd w:val="clear" w:color="auto" w:fill="auto"/>
          </w:tcPr>
          <w:p w:rsidR="00B95EA6" w:rsidRDefault="00B95EA6">
            <w:pPr>
              <w:rPr>
                <w:lang w:val="en-GB"/>
              </w:rPr>
            </w:pPr>
            <w:r>
              <w:rPr>
                <w:lang w:val="en-GB"/>
              </w:rPr>
              <w:t>1.</w:t>
            </w:r>
          </w:p>
        </w:tc>
        <w:tc>
          <w:tcPr>
            <w:tcW w:w="0" w:type="auto"/>
            <w:shd w:val="clear" w:color="auto" w:fill="auto"/>
          </w:tcPr>
          <w:p w:rsidR="00B95EA6" w:rsidRDefault="00B95EA6">
            <w:pPr>
              <w:rPr>
                <w:lang w:val="cs-CZ"/>
              </w:rPr>
            </w:pPr>
            <w:r>
              <w:rPr>
                <w:lang w:val="cs-CZ"/>
              </w:rPr>
              <w:t>1.</w:t>
            </w:r>
          </w:p>
        </w:tc>
      </w:tr>
      <w:tr w:rsidR="00B95EA6" w:rsidTr="00A26A8C">
        <w:tc>
          <w:tcPr>
            <w:tcW w:w="0" w:type="auto"/>
            <w:shd w:val="clear" w:color="auto" w:fill="auto"/>
          </w:tcPr>
          <w:p w:rsidR="00B95EA6" w:rsidRDefault="00B95EA6">
            <w:pPr>
              <w:rPr>
                <w:lang w:val="en-GB"/>
              </w:rPr>
            </w:pPr>
            <w:r>
              <w:rPr>
                <w:rStyle w:val="SegmentID"/>
                <w:lang w:val="en-GB"/>
              </w:rPr>
              <w:t>108</w:t>
            </w:r>
            <w:r>
              <w:rPr>
                <w:rStyle w:val="TransUnitID"/>
                <w:lang w:val="en-GB"/>
              </w:rPr>
              <w:t>4c618f5f-3b00-4274-8349-3ed138b227b7</w:t>
            </w:r>
          </w:p>
        </w:tc>
        <w:tc>
          <w:tcPr>
            <w:tcW w:w="0" w:type="auto"/>
            <w:shd w:val="clear" w:color="auto" w:fill="auto"/>
          </w:tcPr>
          <w:p w:rsidR="00B95EA6" w:rsidRDefault="00B95EA6">
            <w:pPr>
              <w:rPr>
                <w:lang w:val="en-GB"/>
              </w:rPr>
            </w:pPr>
            <w:r>
              <w:rPr>
                <w:lang w:val="en-GB"/>
              </w:rPr>
              <w:t>By 30 June 2020, Member States shall allow the use of the 694-790 MHz (‘700 MHz’) frequency band for terrestrial systems capable of providing wireless broadband electronic communications services only under harmonised technical conditions established by the Commission pursuant to Article 4 of Decision No 676/2002/EC.</w:t>
            </w:r>
          </w:p>
        </w:tc>
        <w:tc>
          <w:tcPr>
            <w:tcW w:w="0" w:type="auto"/>
            <w:shd w:val="clear" w:color="auto" w:fill="auto"/>
          </w:tcPr>
          <w:p w:rsidR="00B95EA6" w:rsidRDefault="00B95EA6">
            <w:pPr>
              <w:rPr>
                <w:lang w:val="cs-CZ"/>
              </w:rPr>
            </w:pPr>
            <w:r>
              <w:rPr>
                <w:lang w:val="cs-CZ"/>
              </w:rPr>
              <w:t>Do 30. června 2020, členské státy zajistí, aby využívání kmitočtového pásma 694–790 MHz (dále jen „kmitočtové pásmo 700 MHz“), pro zemské systémy k poskytování bezdrátových širokopásmových služeb elektronických komunikací, pouze podle harmonizovaných technických podmínek stanovených Komisí podle článku 4 rozhodnutí č. 676/2002/ES.</w:t>
            </w:r>
          </w:p>
        </w:tc>
      </w:tr>
      <w:tr w:rsidR="00B95EA6" w:rsidTr="00A26A8C">
        <w:tc>
          <w:tcPr>
            <w:tcW w:w="0" w:type="auto"/>
            <w:shd w:val="clear" w:color="auto" w:fill="auto"/>
          </w:tcPr>
          <w:p w:rsidR="00B95EA6" w:rsidRDefault="00B95EA6">
            <w:pPr>
              <w:rPr>
                <w:lang w:val="en-GB"/>
              </w:rPr>
            </w:pPr>
            <w:r>
              <w:rPr>
                <w:rStyle w:val="SegmentID"/>
                <w:lang w:val="en-GB"/>
              </w:rPr>
              <w:t>109</w:t>
            </w:r>
            <w:r>
              <w:rPr>
                <w:rStyle w:val="TransUnitID"/>
                <w:lang w:val="en-GB"/>
              </w:rPr>
              <w:t>119dbd7c-cd25-4ce7-9422-0cea69d97c41</w:t>
            </w:r>
          </w:p>
        </w:tc>
        <w:tc>
          <w:tcPr>
            <w:tcW w:w="0" w:type="auto"/>
            <w:shd w:val="clear" w:color="auto" w:fill="auto"/>
          </w:tcPr>
          <w:p w:rsidR="00B95EA6" w:rsidRDefault="00B95EA6">
            <w:pPr>
              <w:rPr>
                <w:lang w:val="en-GB"/>
              </w:rPr>
            </w:pPr>
            <w:r>
              <w:rPr>
                <w:lang w:val="en-GB"/>
              </w:rPr>
              <w:t>Member States may, however, delay allowing the use of the 700 MHz frequency band for up to two years on the basis of one or more of the duly justified reasons set out in the Annex to this Decision.</w:t>
            </w:r>
          </w:p>
        </w:tc>
        <w:tc>
          <w:tcPr>
            <w:tcW w:w="0" w:type="auto"/>
            <w:shd w:val="clear" w:color="auto" w:fill="auto"/>
          </w:tcPr>
          <w:p w:rsidR="00B95EA6" w:rsidRDefault="00B95EA6">
            <w:pPr>
              <w:rPr>
                <w:lang w:val="cs-CZ"/>
              </w:rPr>
            </w:pPr>
            <w:r>
              <w:rPr>
                <w:lang w:val="cs-CZ"/>
              </w:rPr>
              <w:t xml:space="preserve">Členské státy neprodleně však </w:t>
            </w:r>
            <w:proofErr w:type="gramStart"/>
            <w:r>
              <w:rPr>
                <w:lang w:val="cs-CZ"/>
              </w:rPr>
              <w:t>může</w:t>
            </w:r>
            <w:proofErr w:type="gramEnd"/>
            <w:r>
              <w:rPr>
                <w:lang w:val="cs-CZ"/>
              </w:rPr>
              <w:t xml:space="preserve"> povolit použití kmitočtového pásma 700 MHz </w:t>
            </w:r>
            <w:proofErr w:type="gramStart"/>
            <w:r>
              <w:rPr>
                <w:lang w:val="cs-CZ"/>
              </w:rPr>
              <w:t>prosadí</w:t>
            </w:r>
            <w:proofErr w:type="gramEnd"/>
            <w:r>
              <w:rPr>
                <w:lang w:val="cs-CZ"/>
              </w:rPr>
              <w:t xml:space="preserve"> do dvou let na základě jedné nebo více řádně odůvodněných případech uvedených v příloze tohoto rozhodnutí.</w:t>
            </w:r>
          </w:p>
        </w:tc>
      </w:tr>
      <w:tr w:rsidR="00B95EA6" w:rsidTr="00A26A8C">
        <w:tc>
          <w:tcPr>
            <w:tcW w:w="0" w:type="auto"/>
            <w:shd w:val="clear" w:color="auto" w:fill="auto"/>
          </w:tcPr>
          <w:p w:rsidR="00B95EA6" w:rsidRDefault="00B95EA6">
            <w:pPr>
              <w:rPr>
                <w:lang w:val="en-GB"/>
              </w:rPr>
            </w:pPr>
            <w:r>
              <w:rPr>
                <w:rStyle w:val="SegmentID"/>
                <w:lang w:val="en-GB"/>
              </w:rPr>
              <w:t>110</w:t>
            </w:r>
            <w:r>
              <w:rPr>
                <w:rStyle w:val="TransUnitID"/>
                <w:lang w:val="en-GB"/>
              </w:rPr>
              <w:t>119dbd7c-cd25-4ce7-9422-0cea69d97c41</w:t>
            </w:r>
          </w:p>
        </w:tc>
        <w:tc>
          <w:tcPr>
            <w:tcW w:w="0" w:type="auto"/>
            <w:shd w:val="clear" w:color="auto" w:fill="auto"/>
          </w:tcPr>
          <w:p w:rsidR="00B95EA6" w:rsidRDefault="00B95EA6">
            <w:pPr>
              <w:rPr>
                <w:lang w:val="en-GB"/>
              </w:rPr>
            </w:pPr>
            <w:r>
              <w:rPr>
                <w:lang w:val="en-GB"/>
              </w:rPr>
              <w:t>In the case of such a delay, the Member State concerned shall inform the other Member States and the Commission accordingly and shall include those duly justified reasons in the national roadmap adopted pursuant to Article 5 of this Decision.</w:t>
            </w:r>
          </w:p>
        </w:tc>
        <w:tc>
          <w:tcPr>
            <w:tcW w:w="0" w:type="auto"/>
            <w:shd w:val="clear" w:color="auto" w:fill="auto"/>
          </w:tcPr>
          <w:p w:rsidR="00B95EA6" w:rsidRDefault="00B95EA6">
            <w:pPr>
              <w:rPr>
                <w:lang w:val="cs-CZ"/>
              </w:rPr>
            </w:pPr>
            <w:r>
              <w:rPr>
                <w:lang w:val="cs-CZ"/>
              </w:rPr>
              <w:t>V případě takové, dotčený členský stát uvědomí ostatní členské státy a Komisi a uvedené v řádně odůvodněných případech národní plán přijatých podle čl. 5 odst. 2 tohoto rozhodnutí.</w:t>
            </w:r>
          </w:p>
        </w:tc>
      </w:tr>
      <w:tr w:rsidR="00B95EA6" w:rsidTr="00A26A8C">
        <w:tc>
          <w:tcPr>
            <w:tcW w:w="0" w:type="auto"/>
            <w:shd w:val="clear" w:color="auto" w:fill="auto"/>
          </w:tcPr>
          <w:p w:rsidR="00B95EA6" w:rsidRDefault="00B95EA6">
            <w:pPr>
              <w:rPr>
                <w:lang w:val="en-GB"/>
              </w:rPr>
            </w:pPr>
            <w:r>
              <w:rPr>
                <w:rStyle w:val="SegmentID"/>
                <w:lang w:val="en-GB"/>
              </w:rPr>
              <w:t>111</w:t>
            </w:r>
            <w:r>
              <w:rPr>
                <w:rStyle w:val="TransUnitID"/>
                <w:lang w:val="en-GB"/>
              </w:rPr>
              <w:t>119dbd7c-cd25-4ce7-9422-0cea69d97c41</w:t>
            </w:r>
          </w:p>
        </w:tc>
        <w:tc>
          <w:tcPr>
            <w:tcW w:w="0" w:type="auto"/>
            <w:shd w:val="clear" w:color="auto" w:fill="auto"/>
          </w:tcPr>
          <w:p w:rsidR="00B95EA6" w:rsidRDefault="00B95EA6">
            <w:pPr>
              <w:rPr>
                <w:lang w:val="en-GB"/>
              </w:rPr>
            </w:pPr>
            <w:r>
              <w:rPr>
                <w:lang w:val="en-GB"/>
              </w:rPr>
              <w:t>Where necessary, Member States shall carry out the authorisation process or amend relevant existing rights to use the spectrum in accordance with Directive 2002/20/EC, in order to allow such use.</w:t>
            </w:r>
          </w:p>
        </w:tc>
        <w:tc>
          <w:tcPr>
            <w:tcW w:w="0" w:type="auto"/>
            <w:shd w:val="clear" w:color="auto" w:fill="auto"/>
          </w:tcPr>
          <w:p w:rsidR="00B95EA6" w:rsidRDefault="00B95EA6">
            <w:pPr>
              <w:rPr>
                <w:lang w:val="cs-CZ"/>
              </w:rPr>
            </w:pPr>
            <w:r>
              <w:rPr>
                <w:lang w:val="cs-CZ"/>
              </w:rPr>
              <w:t>Členské státy a případně provede příslušná povolení nebo změnit stávající práva k využívání spektra v souladu se směrnicí 2002/20/ES s cílem povolit používání.</w:t>
            </w:r>
          </w:p>
        </w:tc>
      </w:tr>
      <w:tr w:rsidR="00B95EA6" w:rsidTr="00A26A8C">
        <w:tc>
          <w:tcPr>
            <w:tcW w:w="0" w:type="auto"/>
            <w:shd w:val="clear" w:color="auto" w:fill="auto"/>
          </w:tcPr>
          <w:p w:rsidR="00B95EA6" w:rsidRDefault="00B95EA6">
            <w:pPr>
              <w:rPr>
                <w:lang w:val="en-GB"/>
              </w:rPr>
            </w:pPr>
            <w:r>
              <w:rPr>
                <w:rStyle w:val="SegmentID"/>
                <w:lang w:val="en-GB"/>
              </w:rPr>
              <w:t>112</w:t>
            </w:r>
            <w:r>
              <w:rPr>
                <w:rStyle w:val="TransUnitID"/>
                <w:lang w:val="en-GB"/>
              </w:rPr>
              <w:t>025ced23-b969-47ee-b2cc-55ac0e52e05d</w:t>
            </w:r>
          </w:p>
        </w:tc>
        <w:tc>
          <w:tcPr>
            <w:tcW w:w="0" w:type="auto"/>
            <w:shd w:val="clear" w:color="auto" w:fill="auto"/>
          </w:tcPr>
          <w:p w:rsidR="00B95EA6" w:rsidRDefault="00B95EA6">
            <w:pPr>
              <w:rPr>
                <w:lang w:val="en-GB"/>
              </w:rPr>
            </w:pPr>
            <w:r>
              <w:rPr>
                <w:lang w:val="en-GB"/>
              </w:rPr>
              <w:t xml:space="preserve">A Member State that delays allowing the use of the 700 MHz frequency band under the second subparagraph and the Member States affected by that delay shall cooperate with each other with a view to coordinating the process of releasing the 700 MHz frequency band for wireless broadband electronic communications services and shall include </w:t>
            </w:r>
            <w:r>
              <w:rPr>
                <w:lang w:val="en-GB"/>
              </w:rPr>
              <w:lastRenderedPageBreak/>
              <w:t>information on such coordination in the national roadmaps adopted pursuant to Article 5.</w:t>
            </w:r>
          </w:p>
        </w:tc>
        <w:tc>
          <w:tcPr>
            <w:tcW w:w="0" w:type="auto"/>
            <w:shd w:val="clear" w:color="auto" w:fill="auto"/>
          </w:tcPr>
          <w:p w:rsidR="00B95EA6" w:rsidRDefault="00B95EA6">
            <w:pPr>
              <w:rPr>
                <w:lang w:val="cs-CZ"/>
              </w:rPr>
            </w:pPr>
            <w:r>
              <w:rPr>
                <w:lang w:val="cs-CZ"/>
              </w:rPr>
              <w:lastRenderedPageBreak/>
              <w:t xml:space="preserve">Členský stát, který umožňuje při využívání kmitočtového pásma 700 MHz v rámci druhého pododstavce a členské státy, které ji </w:t>
            </w:r>
            <w:proofErr w:type="gramStart"/>
            <w:r>
              <w:rPr>
                <w:lang w:val="cs-CZ"/>
              </w:rPr>
              <w:t>budou</w:t>
            </w:r>
            <w:proofErr w:type="gramEnd"/>
            <w:r>
              <w:rPr>
                <w:lang w:val="cs-CZ"/>
              </w:rPr>
              <w:t xml:space="preserve"> vzájemně </w:t>
            </w:r>
            <w:proofErr w:type="gramStart"/>
            <w:r>
              <w:rPr>
                <w:lang w:val="cs-CZ"/>
              </w:rPr>
              <w:t>spolupracují</w:t>
            </w:r>
            <w:proofErr w:type="gramEnd"/>
            <w:r>
              <w:rPr>
                <w:lang w:val="cs-CZ"/>
              </w:rPr>
              <w:t xml:space="preserve"> s cílem koordinovat postupu propuštění kmitočtového pásma 700 MHz pro bezdrátové širokopásmové služby elektronických komunikací a musí obsahovat tyto informace o koordinaci ve </w:t>
            </w:r>
            <w:r>
              <w:rPr>
                <w:lang w:val="cs-CZ"/>
              </w:rPr>
              <w:lastRenderedPageBreak/>
              <w:t>vnitrostátních plánů přijatého podle článku 5.</w:t>
            </w:r>
          </w:p>
        </w:tc>
      </w:tr>
      <w:tr w:rsidR="00B95EA6" w:rsidTr="00A26A8C">
        <w:tc>
          <w:tcPr>
            <w:tcW w:w="0" w:type="auto"/>
            <w:shd w:val="clear" w:color="auto" w:fill="auto"/>
          </w:tcPr>
          <w:p w:rsidR="00B95EA6" w:rsidRDefault="00B95EA6">
            <w:pPr>
              <w:rPr>
                <w:lang w:val="en-GB"/>
              </w:rPr>
            </w:pPr>
            <w:r>
              <w:rPr>
                <w:rStyle w:val="SegmentID"/>
                <w:lang w:val="en-GB"/>
              </w:rPr>
              <w:lastRenderedPageBreak/>
              <w:t>113</w:t>
            </w:r>
            <w:r>
              <w:rPr>
                <w:rStyle w:val="TransUnitID"/>
                <w:lang w:val="en-GB"/>
              </w:rPr>
              <w:t>fda8f02f-dc40-4e2a-8eaa-4a4ed1ea2bbf</w:t>
            </w:r>
          </w:p>
        </w:tc>
        <w:tc>
          <w:tcPr>
            <w:tcW w:w="0" w:type="auto"/>
            <w:shd w:val="clear" w:color="auto" w:fill="auto"/>
          </w:tcPr>
          <w:p w:rsidR="00B95EA6" w:rsidRDefault="00B95EA6">
            <w:pPr>
              <w:rPr>
                <w:lang w:val="en-GB"/>
              </w:rPr>
            </w:pPr>
            <w:r>
              <w:rPr>
                <w:lang w:val="en-GB"/>
              </w:rPr>
              <w:t>2.</w:t>
            </w:r>
          </w:p>
        </w:tc>
        <w:tc>
          <w:tcPr>
            <w:tcW w:w="0" w:type="auto"/>
            <w:shd w:val="clear" w:color="auto" w:fill="auto"/>
          </w:tcPr>
          <w:p w:rsidR="00B95EA6" w:rsidRDefault="00B95EA6">
            <w:pPr>
              <w:rPr>
                <w:lang w:val="cs-CZ"/>
              </w:rPr>
            </w:pPr>
            <w:r>
              <w:rPr>
                <w:lang w:val="cs-CZ"/>
              </w:rPr>
              <w:t>2.</w:t>
            </w:r>
          </w:p>
        </w:tc>
      </w:tr>
      <w:tr w:rsidR="00B95EA6" w:rsidTr="00A26A8C">
        <w:tc>
          <w:tcPr>
            <w:tcW w:w="0" w:type="auto"/>
            <w:shd w:val="clear" w:color="auto" w:fill="auto"/>
          </w:tcPr>
          <w:p w:rsidR="00B95EA6" w:rsidRDefault="00B95EA6">
            <w:pPr>
              <w:rPr>
                <w:lang w:val="en-GB"/>
              </w:rPr>
            </w:pPr>
            <w:r>
              <w:rPr>
                <w:rStyle w:val="SegmentID"/>
                <w:lang w:val="en-GB"/>
              </w:rPr>
              <w:t>114</w:t>
            </w:r>
            <w:r>
              <w:rPr>
                <w:rStyle w:val="TransUnitID"/>
                <w:lang w:val="en-GB"/>
              </w:rPr>
              <w:t>fda8f02f-dc40-4e2a-8eaa-4a4ed1ea2bbf</w:t>
            </w:r>
          </w:p>
        </w:tc>
        <w:tc>
          <w:tcPr>
            <w:tcW w:w="0" w:type="auto"/>
            <w:shd w:val="clear" w:color="auto" w:fill="auto"/>
          </w:tcPr>
          <w:p w:rsidR="00B95EA6" w:rsidRDefault="00B95EA6">
            <w:pPr>
              <w:rPr>
                <w:lang w:val="en-GB"/>
              </w:rPr>
            </w:pPr>
            <w:r>
              <w:rPr>
                <w:lang w:val="en-GB"/>
              </w:rPr>
              <w:t>In order to allow the use of the 700 MHz frequency band in accordance with paragraph 1, Member States shall, by 31 December 2017, conclude all the necessary cross-border frequency-coordination agreements within the Union.</w:t>
            </w:r>
          </w:p>
        </w:tc>
        <w:tc>
          <w:tcPr>
            <w:tcW w:w="0" w:type="auto"/>
            <w:shd w:val="clear" w:color="auto" w:fill="auto"/>
          </w:tcPr>
          <w:p w:rsidR="00B95EA6" w:rsidRDefault="00B95EA6">
            <w:pPr>
              <w:rPr>
                <w:lang w:val="cs-CZ"/>
              </w:rPr>
            </w:pPr>
            <w:r>
              <w:rPr>
                <w:lang w:val="cs-CZ"/>
              </w:rPr>
              <w:t xml:space="preserve">S cílem umožnit využívání kmitočtového pásma 700 MHz v souladu s odstavcem 1, členské státy zajistí, aby do 31. prosince 2017, uzavřou veškerá nezbytná </w:t>
            </w:r>
            <w:proofErr w:type="spellStart"/>
            <w:r>
              <w:rPr>
                <w:lang w:val="cs-CZ"/>
              </w:rPr>
              <w:t>frequency-coordination</w:t>
            </w:r>
            <w:proofErr w:type="spellEnd"/>
            <w:r>
              <w:rPr>
                <w:lang w:val="cs-CZ"/>
              </w:rPr>
              <w:t xml:space="preserve"> přeshraničních dohodách v Unii.</w:t>
            </w:r>
          </w:p>
        </w:tc>
      </w:tr>
      <w:tr w:rsidR="00B95EA6" w:rsidTr="00A26A8C">
        <w:tc>
          <w:tcPr>
            <w:tcW w:w="0" w:type="auto"/>
            <w:shd w:val="clear" w:color="auto" w:fill="auto"/>
          </w:tcPr>
          <w:p w:rsidR="00B95EA6" w:rsidRDefault="00B95EA6">
            <w:pPr>
              <w:rPr>
                <w:lang w:val="en-GB"/>
              </w:rPr>
            </w:pPr>
            <w:r>
              <w:rPr>
                <w:rStyle w:val="SegmentID"/>
                <w:lang w:val="en-GB"/>
              </w:rPr>
              <w:t>115</w:t>
            </w:r>
            <w:r>
              <w:rPr>
                <w:rStyle w:val="TransUnitID"/>
                <w:lang w:val="en-GB"/>
              </w:rPr>
              <w:t>2046fa9a-edb0-4489-9d21-000ac30cf61d</w:t>
            </w:r>
          </w:p>
        </w:tc>
        <w:tc>
          <w:tcPr>
            <w:tcW w:w="0" w:type="auto"/>
            <w:shd w:val="clear" w:color="auto" w:fill="auto"/>
          </w:tcPr>
          <w:p w:rsidR="00B95EA6" w:rsidRDefault="00B95EA6">
            <w:pPr>
              <w:rPr>
                <w:lang w:val="en-GB"/>
              </w:rPr>
            </w:pPr>
            <w:r>
              <w:rPr>
                <w:lang w:val="en-GB"/>
              </w:rPr>
              <w:t>3.</w:t>
            </w:r>
          </w:p>
        </w:tc>
        <w:tc>
          <w:tcPr>
            <w:tcW w:w="0" w:type="auto"/>
            <w:shd w:val="clear" w:color="auto" w:fill="auto"/>
          </w:tcPr>
          <w:p w:rsidR="00B95EA6" w:rsidRDefault="00B95EA6">
            <w:pPr>
              <w:rPr>
                <w:lang w:val="cs-CZ"/>
              </w:rPr>
            </w:pPr>
            <w:r>
              <w:rPr>
                <w:lang w:val="cs-CZ"/>
              </w:rPr>
              <w:t>3.</w:t>
            </w:r>
          </w:p>
        </w:tc>
      </w:tr>
      <w:tr w:rsidR="00B95EA6" w:rsidTr="00A26A8C">
        <w:tc>
          <w:tcPr>
            <w:tcW w:w="0" w:type="auto"/>
            <w:shd w:val="clear" w:color="auto" w:fill="auto"/>
          </w:tcPr>
          <w:p w:rsidR="00B95EA6" w:rsidRDefault="00B95EA6">
            <w:pPr>
              <w:rPr>
                <w:lang w:val="en-GB"/>
              </w:rPr>
            </w:pPr>
            <w:r>
              <w:rPr>
                <w:rStyle w:val="SegmentID"/>
                <w:lang w:val="en-GB"/>
              </w:rPr>
              <w:t>116</w:t>
            </w:r>
            <w:r>
              <w:rPr>
                <w:rStyle w:val="TransUnitID"/>
                <w:lang w:val="en-GB"/>
              </w:rPr>
              <w:t>2046fa9a-edb0-4489-9d21-000ac30cf61d</w:t>
            </w:r>
          </w:p>
        </w:tc>
        <w:tc>
          <w:tcPr>
            <w:tcW w:w="0" w:type="auto"/>
            <w:shd w:val="clear" w:color="auto" w:fill="auto"/>
          </w:tcPr>
          <w:p w:rsidR="00B95EA6" w:rsidRDefault="00B95EA6">
            <w:pPr>
              <w:rPr>
                <w:lang w:val="en-GB"/>
              </w:rPr>
            </w:pPr>
            <w:r>
              <w:rPr>
                <w:lang w:val="en-GB"/>
              </w:rPr>
              <w:t>Member States shall not be bound by the obligations laid down in paragraphs 1 and 2 in geographical areas where frequency coordination with third countries remains unresolved, provided that Member States make all practicable efforts to minimise the duration and geographical scope of such unresolved coordination and report the results to the Commission, on an annual basis, until the outstanding coordination issues have been resolved.</w:t>
            </w:r>
          </w:p>
        </w:tc>
        <w:tc>
          <w:tcPr>
            <w:tcW w:w="0" w:type="auto"/>
            <w:shd w:val="clear" w:color="auto" w:fill="auto"/>
          </w:tcPr>
          <w:p w:rsidR="00B95EA6" w:rsidRDefault="00B95EA6">
            <w:pPr>
              <w:rPr>
                <w:lang w:val="cs-CZ"/>
              </w:rPr>
            </w:pPr>
            <w:r>
              <w:rPr>
                <w:lang w:val="cs-CZ"/>
              </w:rPr>
              <w:t>Členské státy, které jsou vázány povinnosti stanovené v odstavcích 1 a 2 v zeměpisné oblasti, kde se koordinaci kmitočtů třetím zemím zůstává nevyřešených za předpokladu, že členské státy učiní veškeré možné úsilí k minimalizaci doba trvání a zeměpisný rozsah nevyřešených koordinace a zprávy o výsledcích komisi každoročně, dokud ke koordinaci záležitostí, které byly vyřešeny“).</w:t>
            </w:r>
          </w:p>
        </w:tc>
      </w:tr>
      <w:tr w:rsidR="00B95EA6" w:rsidTr="00A26A8C">
        <w:tc>
          <w:tcPr>
            <w:tcW w:w="0" w:type="auto"/>
            <w:shd w:val="clear" w:color="auto" w:fill="auto"/>
          </w:tcPr>
          <w:p w:rsidR="00B95EA6" w:rsidRDefault="00B95EA6">
            <w:pPr>
              <w:rPr>
                <w:lang w:val="en-GB"/>
              </w:rPr>
            </w:pPr>
            <w:r>
              <w:rPr>
                <w:rStyle w:val="SegmentID"/>
                <w:lang w:val="en-GB"/>
              </w:rPr>
              <w:t>117</w:t>
            </w:r>
            <w:r>
              <w:rPr>
                <w:rStyle w:val="TransUnitID"/>
                <w:lang w:val="en-GB"/>
              </w:rPr>
              <w:t>0852723e-9057-457c-bde0-bb1d081a3b5b</w:t>
            </w:r>
          </w:p>
        </w:tc>
        <w:tc>
          <w:tcPr>
            <w:tcW w:w="0" w:type="auto"/>
            <w:shd w:val="clear" w:color="auto" w:fill="auto"/>
          </w:tcPr>
          <w:p w:rsidR="00B95EA6" w:rsidRDefault="00B95EA6">
            <w:pPr>
              <w:rPr>
                <w:lang w:val="en-GB"/>
              </w:rPr>
            </w:pPr>
            <w:r>
              <w:rPr>
                <w:lang w:val="en-GB"/>
              </w:rPr>
              <w:t>The first subparagraph shall apply to the spectrum coordination problems in the Republic of Cyprus arising from the fact that the Government of Cyprus is prevented from exercising effective control in part of its territory.</w:t>
            </w:r>
          </w:p>
        </w:tc>
        <w:tc>
          <w:tcPr>
            <w:tcW w:w="0" w:type="auto"/>
            <w:shd w:val="clear" w:color="auto" w:fill="auto"/>
          </w:tcPr>
          <w:p w:rsidR="00B95EA6" w:rsidRDefault="00B95EA6">
            <w:pPr>
              <w:rPr>
                <w:lang w:val="cs-CZ"/>
              </w:rPr>
            </w:pPr>
            <w:r>
              <w:rPr>
                <w:lang w:val="cs-CZ"/>
              </w:rPr>
              <w:t>První pododstavec se vztahuje na koordinaci spektra v Kyperské republice problémy vyplývající z toho, že Kyperská vláda nemůže vykonávat účinné kontroly v části jeho území.</w:t>
            </w:r>
          </w:p>
        </w:tc>
      </w:tr>
      <w:tr w:rsidR="00B95EA6" w:rsidTr="00A26A8C">
        <w:tc>
          <w:tcPr>
            <w:tcW w:w="0" w:type="auto"/>
            <w:shd w:val="clear" w:color="auto" w:fill="auto"/>
          </w:tcPr>
          <w:p w:rsidR="00B95EA6" w:rsidRDefault="00B95EA6">
            <w:pPr>
              <w:rPr>
                <w:lang w:val="en-GB"/>
              </w:rPr>
            </w:pPr>
            <w:r>
              <w:rPr>
                <w:rStyle w:val="SegmentID"/>
                <w:lang w:val="en-GB"/>
              </w:rPr>
              <w:t>118</w:t>
            </w:r>
            <w:r>
              <w:rPr>
                <w:rStyle w:val="TransUnitID"/>
                <w:lang w:val="en-GB"/>
              </w:rPr>
              <w:t>62660c1d-7c88-4da3-9595-13b2258bd85e</w:t>
            </w:r>
          </w:p>
        </w:tc>
        <w:tc>
          <w:tcPr>
            <w:tcW w:w="0" w:type="auto"/>
            <w:shd w:val="clear" w:color="auto" w:fill="auto"/>
          </w:tcPr>
          <w:p w:rsidR="00B95EA6" w:rsidRDefault="00B95EA6">
            <w:pPr>
              <w:rPr>
                <w:lang w:val="en-GB"/>
              </w:rPr>
            </w:pPr>
            <w:r>
              <w:rPr>
                <w:lang w:val="en-GB"/>
              </w:rPr>
              <w:t>4.</w:t>
            </w:r>
          </w:p>
        </w:tc>
        <w:tc>
          <w:tcPr>
            <w:tcW w:w="0" w:type="auto"/>
            <w:shd w:val="clear" w:color="auto" w:fill="auto"/>
          </w:tcPr>
          <w:p w:rsidR="00B95EA6" w:rsidRDefault="00B95EA6">
            <w:pPr>
              <w:rPr>
                <w:lang w:val="cs-CZ"/>
              </w:rPr>
            </w:pPr>
            <w:r>
              <w:rPr>
                <w:lang w:val="cs-CZ"/>
              </w:rPr>
              <w:t>4.</w:t>
            </w:r>
          </w:p>
        </w:tc>
      </w:tr>
      <w:tr w:rsidR="00B95EA6" w:rsidTr="00A26A8C">
        <w:tc>
          <w:tcPr>
            <w:tcW w:w="0" w:type="auto"/>
            <w:shd w:val="clear" w:color="auto" w:fill="auto"/>
          </w:tcPr>
          <w:p w:rsidR="00B95EA6" w:rsidRDefault="00B95EA6">
            <w:pPr>
              <w:rPr>
                <w:lang w:val="en-GB"/>
              </w:rPr>
            </w:pPr>
            <w:r>
              <w:rPr>
                <w:rStyle w:val="SegmentID"/>
                <w:lang w:val="en-GB"/>
              </w:rPr>
              <w:t>119</w:t>
            </w:r>
            <w:r>
              <w:rPr>
                <w:rStyle w:val="TransUnitID"/>
                <w:lang w:val="en-GB"/>
              </w:rPr>
              <w:t>62660c1d-7c88-4da3-9595-13b2258bd85e</w:t>
            </w:r>
          </w:p>
        </w:tc>
        <w:tc>
          <w:tcPr>
            <w:tcW w:w="0" w:type="auto"/>
            <w:shd w:val="clear" w:color="auto" w:fill="auto"/>
          </w:tcPr>
          <w:p w:rsidR="00B95EA6" w:rsidRDefault="00B95EA6">
            <w:pPr>
              <w:rPr>
                <w:lang w:val="en-GB"/>
              </w:rPr>
            </w:pPr>
            <w:r>
              <w:rPr>
                <w:lang w:val="en-GB"/>
              </w:rPr>
              <w:t>This Decision is without prejudice to the right of Member States to organise and use their spectrum for the purposes of public order, public security and defence.</w:t>
            </w:r>
          </w:p>
        </w:tc>
        <w:tc>
          <w:tcPr>
            <w:tcW w:w="0" w:type="auto"/>
            <w:shd w:val="clear" w:color="auto" w:fill="auto"/>
          </w:tcPr>
          <w:p w:rsidR="00B95EA6" w:rsidRDefault="00B95EA6">
            <w:pPr>
              <w:rPr>
                <w:lang w:val="cs-CZ"/>
              </w:rPr>
            </w:pPr>
            <w:r>
              <w:rPr>
                <w:lang w:val="cs-CZ"/>
              </w:rPr>
              <w:t>Tímto rozhodnutím není dotčeno právo členských států organizovat a využívat jejich spektrum pro účely veřejného pořádku a veřejné bezpečnosti a obrany.</w:t>
            </w:r>
          </w:p>
        </w:tc>
      </w:tr>
      <w:tr w:rsidR="00B95EA6" w:rsidTr="00A26A8C">
        <w:tc>
          <w:tcPr>
            <w:tcW w:w="0" w:type="auto"/>
            <w:shd w:val="clear" w:color="auto" w:fill="auto"/>
          </w:tcPr>
          <w:p w:rsidR="00B95EA6" w:rsidRDefault="00B95EA6">
            <w:pPr>
              <w:rPr>
                <w:lang w:val="en-GB"/>
              </w:rPr>
            </w:pPr>
            <w:r>
              <w:rPr>
                <w:rStyle w:val="SegmentID"/>
                <w:lang w:val="en-GB"/>
              </w:rPr>
              <w:t>120</w:t>
            </w:r>
            <w:r>
              <w:rPr>
                <w:rStyle w:val="TransUnitID"/>
                <w:lang w:val="en-GB"/>
              </w:rPr>
              <w:t>d199c7d5-9d84-4351-9cdd-e68d5facc219</w:t>
            </w:r>
          </w:p>
        </w:tc>
        <w:tc>
          <w:tcPr>
            <w:tcW w:w="0" w:type="auto"/>
            <w:shd w:val="clear" w:color="auto" w:fill="auto"/>
          </w:tcPr>
          <w:p w:rsidR="00B95EA6" w:rsidRDefault="00B95EA6">
            <w:pPr>
              <w:rPr>
                <w:lang w:val="en-GB"/>
              </w:rPr>
            </w:pPr>
            <w:r>
              <w:rPr>
                <w:lang w:val="en-GB"/>
              </w:rPr>
              <w:t>Article 2</w:t>
            </w:r>
          </w:p>
        </w:tc>
        <w:tc>
          <w:tcPr>
            <w:tcW w:w="0" w:type="auto"/>
            <w:shd w:val="clear" w:color="auto" w:fill="auto"/>
          </w:tcPr>
          <w:p w:rsidR="00B95EA6" w:rsidRDefault="00B95EA6">
            <w:pPr>
              <w:rPr>
                <w:lang w:val="cs-CZ"/>
              </w:rPr>
            </w:pPr>
            <w:r>
              <w:rPr>
                <w:lang w:val="cs-CZ"/>
              </w:rPr>
              <w:t>Článek 2</w:t>
            </w:r>
          </w:p>
        </w:tc>
      </w:tr>
      <w:tr w:rsidR="00B95EA6" w:rsidTr="00A26A8C">
        <w:tc>
          <w:tcPr>
            <w:tcW w:w="0" w:type="auto"/>
            <w:shd w:val="clear" w:color="auto" w:fill="auto"/>
          </w:tcPr>
          <w:p w:rsidR="00B95EA6" w:rsidRDefault="00B95EA6">
            <w:pPr>
              <w:rPr>
                <w:lang w:val="en-GB"/>
              </w:rPr>
            </w:pPr>
            <w:r>
              <w:rPr>
                <w:rStyle w:val="SegmentID"/>
                <w:lang w:val="en-GB"/>
              </w:rPr>
              <w:t>121</w:t>
            </w:r>
            <w:r>
              <w:rPr>
                <w:rStyle w:val="TransUnitID"/>
                <w:lang w:val="en-GB"/>
              </w:rPr>
              <w:t>bf90aeca-1b30-4d85-824e-6d3a431c843b</w:t>
            </w:r>
          </w:p>
        </w:tc>
        <w:tc>
          <w:tcPr>
            <w:tcW w:w="0" w:type="auto"/>
            <w:shd w:val="clear" w:color="auto" w:fill="auto"/>
          </w:tcPr>
          <w:p w:rsidR="00B95EA6" w:rsidRDefault="00B95EA6">
            <w:pPr>
              <w:rPr>
                <w:lang w:val="en-GB"/>
              </w:rPr>
            </w:pPr>
            <w:r>
              <w:rPr>
                <w:lang w:val="en-GB"/>
              </w:rPr>
              <w:t>Upon the granting of the rights of use in the 700 MHz frequency band for terrestrial systems capable of providing wireless broadband electronic communications services, Member States shall allow the transfer or leasing of such rights in accordance with open and transparent procedures pursuant to the applicable Union law.</w:t>
            </w:r>
          </w:p>
        </w:tc>
        <w:tc>
          <w:tcPr>
            <w:tcW w:w="0" w:type="auto"/>
            <w:shd w:val="clear" w:color="auto" w:fill="auto"/>
          </w:tcPr>
          <w:p w:rsidR="00B95EA6" w:rsidRDefault="00B95EA6">
            <w:pPr>
              <w:rPr>
                <w:lang w:val="cs-CZ"/>
              </w:rPr>
            </w:pPr>
            <w:r>
              <w:rPr>
                <w:lang w:val="cs-CZ"/>
              </w:rPr>
              <w:t>po udělení koncese využívání kmitočtového pásma 700 MHz pro zemské systémy k poskytování bezdrátových širokopásmových služeb elektronických komunikací, členské státy zajistí, aby byla tato práva nebo leasingu otevřené a transparentní a v souladu s postupy, které jsou v souladu s příslušnými právními předpisy Unie.</w:t>
            </w:r>
          </w:p>
        </w:tc>
      </w:tr>
      <w:tr w:rsidR="00B95EA6" w:rsidTr="00A26A8C">
        <w:tc>
          <w:tcPr>
            <w:tcW w:w="0" w:type="auto"/>
            <w:shd w:val="clear" w:color="auto" w:fill="auto"/>
          </w:tcPr>
          <w:p w:rsidR="00B95EA6" w:rsidRDefault="00B95EA6">
            <w:pPr>
              <w:rPr>
                <w:lang w:val="en-GB"/>
              </w:rPr>
            </w:pPr>
            <w:r>
              <w:rPr>
                <w:rStyle w:val="SegmentID"/>
                <w:lang w:val="en-GB"/>
              </w:rPr>
              <w:t>122</w:t>
            </w:r>
            <w:r>
              <w:rPr>
                <w:rStyle w:val="TransUnitID"/>
                <w:lang w:val="en-GB"/>
              </w:rPr>
              <w:t>f45726a0-fbe9-4d28-a6cf-d7facd236436</w:t>
            </w:r>
          </w:p>
        </w:tc>
        <w:tc>
          <w:tcPr>
            <w:tcW w:w="0" w:type="auto"/>
            <w:shd w:val="clear" w:color="auto" w:fill="auto"/>
          </w:tcPr>
          <w:p w:rsidR="00B95EA6" w:rsidRDefault="00B95EA6">
            <w:pPr>
              <w:rPr>
                <w:lang w:val="en-GB"/>
              </w:rPr>
            </w:pPr>
            <w:r>
              <w:rPr>
                <w:lang w:val="en-GB"/>
              </w:rPr>
              <w:t>Article 3</w:t>
            </w:r>
          </w:p>
        </w:tc>
        <w:tc>
          <w:tcPr>
            <w:tcW w:w="0" w:type="auto"/>
            <w:shd w:val="clear" w:color="auto" w:fill="auto"/>
          </w:tcPr>
          <w:p w:rsidR="00B95EA6" w:rsidRDefault="00B95EA6">
            <w:pPr>
              <w:rPr>
                <w:lang w:val="cs-CZ"/>
              </w:rPr>
            </w:pPr>
            <w:r>
              <w:rPr>
                <w:lang w:val="cs-CZ"/>
              </w:rPr>
              <w:t>Článek 3</w:t>
            </w:r>
          </w:p>
        </w:tc>
      </w:tr>
      <w:tr w:rsidR="00B95EA6" w:rsidTr="00A26A8C">
        <w:tc>
          <w:tcPr>
            <w:tcW w:w="0" w:type="auto"/>
            <w:shd w:val="clear" w:color="auto" w:fill="auto"/>
          </w:tcPr>
          <w:p w:rsidR="00B95EA6" w:rsidRDefault="00B95EA6">
            <w:pPr>
              <w:rPr>
                <w:lang w:val="en-GB"/>
              </w:rPr>
            </w:pPr>
            <w:r>
              <w:rPr>
                <w:rStyle w:val="SegmentID"/>
                <w:lang w:val="en-GB"/>
              </w:rPr>
              <w:t>123</w:t>
            </w:r>
            <w:r>
              <w:rPr>
                <w:rStyle w:val="TransUnitID"/>
                <w:lang w:val="en-GB"/>
              </w:rPr>
              <w:t>db92e2c0-c63f-4a72-9191-7d649be8d37a</w:t>
            </w:r>
          </w:p>
        </w:tc>
        <w:tc>
          <w:tcPr>
            <w:tcW w:w="0" w:type="auto"/>
            <w:shd w:val="clear" w:color="auto" w:fill="auto"/>
          </w:tcPr>
          <w:p w:rsidR="00B95EA6" w:rsidRDefault="00B95EA6">
            <w:pPr>
              <w:rPr>
                <w:lang w:val="en-GB"/>
              </w:rPr>
            </w:pPr>
            <w:r>
              <w:rPr>
                <w:lang w:val="en-GB"/>
              </w:rPr>
              <w:t>1.</w:t>
            </w:r>
          </w:p>
        </w:tc>
        <w:tc>
          <w:tcPr>
            <w:tcW w:w="0" w:type="auto"/>
            <w:shd w:val="clear" w:color="auto" w:fill="auto"/>
          </w:tcPr>
          <w:p w:rsidR="00B95EA6" w:rsidRDefault="00B95EA6">
            <w:pPr>
              <w:rPr>
                <w:lang w:val="cs-CZ"/>
              </w:rPr>
            </w:pPr>
            <w:r>
              <w:rPr>
                <w:lang w:val="cs-CZ"/>
              </w:rPr>
              <w:t>1.</w:t>
            </w:r>
          </w:p>
        </w:tc>
      </w:tr>
      <w:tr w:rsidR="00B95EA6" w:rsidTr="00A26A8C">
        <w:tc>
          <w:tcPr>
            <w:tcW w:w="0" w:type="auto"/>
            <w:shd w:val="clear" w:color="auto" w:fill="auto"/>
          </w:tcPr>
          <w:p w:rsidR="00B95EA6" w:rsidRDefault="00B95EA6">
            <w:pPr>
              <w:rPr>
                <w:lang w:val="en-GB"/>
              </w:rPr>
            </w:pPr>
            <w:r>
              <w:rPr>
                <w:rStyle w:val="SegmentID"/>
                <w:lang w:val="en-GB"/>
              </w:rPr>
              <w:t>124</w:t>
            </w:r>
            <w:r>
              <w:rPr>
                <w:rStyle w:val="TransUnitID"/>
                <w:lang w:val="en-GB"/>
              </w:rPr>
              <w:t>db92e2c0-c63f-4a72-9191-7d649be8d37a</w:t>
            </w:r>
          </w:p>
        </w:tc>
        <w:tc>
          <w:tcPr>
            <w:tcW w:w="0" w:type="auto"/>
            <w:shd w:val="clear" w:color="auto" w:fill="auto"/>
          </w:tcPr>
          <w:p w:rsidR="00B95EA6" w:rsidRDefault="00B95EA6">
            <w:pPr>
              <w:rPr>
                <w:lang w:val="en-GB"/>
              </w:rPr>
            </w:pPr>
            <w:r>
              <w:rPr>
                <w:lang w:val="en-GB"/>
              </w:rPr>
              <w:t>When Member States authorise the use of or amend existing rights to use the 700 MHz frequency band, they shall take due account of the need to achieve the target speed and quality objectives set out in Article 6(1) of Decision No 243/2012/EU, including coverage in predetermined national priority areas where necessary, such as along major terrestrial transport paths, for the purpose of allowing wireless applications and European leadership in new digital services to contribute effectively to Union economic growth.</w:t>
            </w:r>
          </w:p>
        </w:tc>
        <w:tc>
          <w:tcPr>
            <w:tcW w:w="0" w:type="auto"/>
            <w:shd w:val="clear" w:color="auto" w:fill="auto"/>
          </w:tcPr>
          <w:p w:rsidR="00B95EA6" w:rsidRDefault="00B95EA6">
            <w:pPr>
              <w:rPr>
                <w:lang w:val="cs-CZ"/>
              </w:rPr>
            </w:pPr>
            <w:r>
              <w:rPr>
                <w:lang w:val="cs-CZ"/>
              </w:rPr>
              <w:t xml:space="preserve">Pokud členské státy povolit použití nebo změnit stávající práva k využívání kmitočtového pásma 700 MHz, jsou náležitě zohlední potřeba zajistit dosažení cílového rychlosti a kvality cílů stanovených v čl. 6 odst. 1 rozhodnutí č. 243/2012/EU, včetně pokrytí v oblastech, kde byly předem národních priorit, jako jsou pozemní dopravy na hlavních tras pro chodce, za účelem umožnit bezdrátové a vedoucí postavení Evropy v nových digitálních </w:t>
            </w:r>
            <w:proofErr w:type="gramStart"/>
            <w:r>
              <w:rPr>
                <w:lang w:val="cs-CZ"/>
              </w:rPr>
              <w:t>služeb</w:t>
            </w:r>
            <w:proofErr w:type="gramEnd"/>
            <w:r>
              <w:rPr>
                <w:lang w:val="cs-CZ"/>
              </w:rPr>
              <w:t xml:space="preserve"> Unie a účinně přispívat k hospodářskému růstu.</w:t>
            </w:r>
          </w:p>
        </w:tc>
      </w:tr>
      <w:tr w:rsidR="00B95EA6" w:rsidTr="00A26A8C">
        <w:tc>
          <w:tcPr>
            <w:tcW w:w="0" w:type="auto"/>
            <w:shd w:val="clear" w:color="auto" w:fill="auto"/>
          </w:tcPr>
          <w:p w:rsidR="00B95EA6" w:rsidRDefault="00B95EA6">
            <w:pPr>
              <w:rPr>
                <w:lang w:val="en-GB"/>
              </w:rPr>
            </w:pPr>
            <w:r>
              <w:rPr>
                <w:rStyle w:val="SegmentID"/>
                <w:lang w:val="en-GB"/>
              </w:rPr>
              <w:lastRenderedPageBreak/>
              <w:t>125</w:t>
            </w:r>
            <w:r>
              <w:rPr>
                <w:rStyle w:val="TransUnitID"/>
                <w:lang w:val="en-GB"/>
              </w:rPr>
              <w:t>db92e2c0-c63f-4a72-9191-7d649be8d37a</w:t>
            </w:r>
          </w:p>
        </w:tc>
        <w:tc>
          <w:tcPr>
            <w:tcW w:w="0" w:type="auto"/>
            <w:shd w:val="clear" w:color="auto" w:fill="auto"/>
          </w:tcPr>
          <w:p w:rsidR="00B95EA6" w:rsidRDefault="00B95EA6">
            <w:pPr>
              <w:rPr>
                <w:lang w:val="en-GB"/>
              </w:rPr>
            </w:pPr>
            <w:r>
              <w:rPr>
                <w:lang w:val="en-GB"/>
              </w:rPr>
              <w:t>Such measures may include conditions to facilitate or encourage the sharing of network infrastructure or spectrum in accordance with Union law.</w:t>
            </w:r>
          </w:p>
        </w:tc>
        <w:tc>
          <w:tcPr>
            <w:tcW w:w="0" w:type="auto"/>
            <w:shd w:val="clear" w:color="auto" w:fill="auto"/>
          </w:tcPr>
          <w:p w:rsidR="00B95EA6" w:rsidRDefault="00B95EA6">
            <w:pPr>
              <w:rPr>
                <w:lang w:val="cs-CZ"/>
              </w:rPr>
            </w:pPr>
            <w:r>
              <w:rPr>
                <w:lang w:val="cs-CZ"/>
              </w:rPr>
              <w:t>Tato opatření mohou zahrnovat podmínek s cílem usnadnit a podpořit sdílení síťovou infrastrukturu nebo spektra v souladu s právem Unie.</w:t>
            </w:r>
          </w:p>
        </w:tc>
      </w:tr>
      <w:tr w:rsidR="00B95EA6" w:rsidTr="00A26A8C">
        <w:tc>
          <w:tcPr>
            <w:tcW w:w="0" w:type="auto"/>
            <w:shd w:val="clear" w:color="auto" w:fill="auto"/>
          </w:tcPr>
          <w:p w:rsidR="00B95EA6" w:rsidRDefault="00B95EA6">
            <w:pPr>
              <w:rPr>
                <w:lang w:val="en-GB"/>
              </w:rPr>
            </w:pPr>
            <w:r>
              <w:rPr>
                <w:rStyle w:val="SegmentID"/>
                <w:lang w:val="en-GB"/>
              </w:rPr>
              <w:t>126</w:t>
            </w:r>
            <w:r>
              <w:rPr>
                <w:rStyle w:val="TransUnitID"/>
                <w:lang w:val="en-GB"/>
              </w:rPr>
              <w:t>917e6b34-dd36-42e6-bc14-aae123b454aa</w:t>
            </w:r>
          </w:p>
        </w:tc>
        <w:tc>
          <w:tcPr>
            <w:tcW w:w="0" w:type="auto"/>
            <w:shd w:val="clear" w:color="auto" w:fill="auto"/>
          </w:tcPr>
          <w:p w:rsidR="00B95EA6" w:rsidRDefault="00B95EA6">
            <w:pPr>
              <w:rPr>
                <w:lang w:val="en-GB"/>
              </w:rPr>
            </w:pPr>
            <w:r>
              <w:rPr>
                <w:lang w:val="en-GB"/>
              </w:rPr>
              <w:t>2.</w:t>
            </w:r>
          </w:p>
        </w:tc>
        <w:tc>
          <w:tcPr>
            <w:tcW w:w="0" w:type="auto"/>
            <w:shd w:val="clear" w:color="auto" w:fill="auto"/>
          </w:tcPr>
          <w:p w:rsidR="00B95EA6" w:rsidRDefault="00B95EA6">
            <w:pPr>
              <w:rPr>
                <w:lang w:val="cs-CZ"/>
              </w:rPr>
            </w:pPr>
            <w:r>
              <w:rPr>
                <w:lang w:val="cs-CZ"/>
              </w:rPr>
              <w:t>2.</w:t>
            </w:r>
          </w:p>
        </w:tc>
      </w:tr>
      <w:tr w:rsidR="00B95EA6" w:rsidTr="00A26A8C">
        <w:tc>
          <w:tcPr>
            <w:tcW w:w="0" w:type="auto"/>
            <w:shd w:val="clear" w:color="auto" w:fill="auto"/>
          </w:tcPr>
          <w:p w:rsidR="00B95EA6" w:rsidRDefault="00B95EA6">
            <w:pPr>
              <w:rPr>
                <w:lang w:val="en-GB"/>
              </w:rPr>
            </w:pPr>
            <w:r>
              <w:rPr>
                <w:rStyle w:val="SegmentID"/>
                <w:lang w:val="en-GB"/>
              </w:rPr>
              <w:t>127</w:t>
            </w:r>
            <w:r>
              <w:rPr>
                <w:rStyle w:val="TransUnitID"/>
                <w:lang w:val="en-GB"/>
              </w:rPr>
              <w:t>917e6b34-dd36-42e6-bc14-aae123b454aa</w:t>
            </w:r>
          </w:p>
        </w:tc>
        <w:tc>
          <w:tcPr>
            <w:tcW w:w="0" w:type="auto"/>
            <w:shd w:val="clear" w:color="auto" w:fill="auto"/>
          </w:tcPr>
          <w:p w:rsidR="00B95EA6" w:rsidRDefault="00B95EA6">
            <w:pPr>
              <w:rPr>
                <w:lang w:val="en-GB"/>
              </w:rPr>
            </w:pPr>
            <w:r>
              <w:rPr>
                <w:lang w:val="en-GB"/>
              </w:rPr>
              <w:t>In applying paragraph 1, Member States shall assess the need to attach conditions to the rights of use for frequencies within the 700 MHz frequency band and, where appropriate, shall consult relevant stakeholders in that regard.</w:t>
            </w:r>
          </w:p>
        </w:tc>
        <w:tc>
          <w:tcPr>
            <w:tcW w:w="0" w:type="auto"/>
            <w:shd w:val="clear" w:color="auto" w:fill="auto"/>
          </w:tcPr>
          <w:p w:rsidR="00B95EA6" w:rsidRDefault="00B95EA6">
            <w:pPr>
              <w:rPr>
                <w:lang w:val="cs-CZ"/>
              </w:rPr>
            </w:pPr>
            <w:r>
              <w:rPr>
                <w:lang w:val="cs-CZ"/>
              </w:rPr>
              <w:t>v odstavci 1 se určí členské státy, je třeba přiložit podmínky pro použití práva kmitočtů v kmitočtovém pásmu 700 MHz, a v případě potřeby konzultuje v této souvislosti relevantní.</w:t>
            </w:r>
          </w:p>
        </w:tc>
      </w:tr>
      <w:tr w:rsidR="00B95EA6" w:rsidTr="00A26A8C">
        <w:tc>
          <w:tcPr>
            <w:tcW w:w="0" w:type="auto"/>
            <w:shd w:val="clear" w:color="auto" w:fill="auto"/>
          </w:tcPr>
          <w:p w:rsidR="00B95EA6" w:rsidRDefault="00B95EA6">
            <w:pPr>
              <w:rPr>
                <w:lang w:val="en-GB"/>
              </w:rPr>
            </w:pPr>
            <w:r>
              <w:rPr>
                <w:rStyle w:val="SegmentID"/>
                <w:lang w:val="en-GB"/>
              </w:rPr>
              <w:t>128</w:t>
            </w:r>
            <w:r>
              <w:rPr>
                <w:rStyle w:val="TransUnitID"/>
                <w:lang w:val="en-GB"/>
              </w:rPr>
              <w:t>ee08006f-af02-46ee-8d6c-1920f2923af7</w:t>
            </w:r>
          </w:p>
        </w:tc>
        <w:tc>
          <w:tcPr>
            <w:tcW w:w="0" w:type="auto"/>
            <w:shd w:val="clear" w:color="auto" w:fill="auto"/>
          </w:tcPr>
          <w:p w:rsidR="00B95EA6" w:rsidRDefault="00B95EA6">
            <w:pPr>
              <w:rPr>
                <w:lang w:val="en-GB"/>
              </w:rPr>
            </w:pPr>
            <w:r>
              <w:rPr>
                <w:lang w:val="en-GB"/>
              </w:rPr>
              <w:t>Article 4</w:t>
            </w:r>
          </w:p>
        </w:tc>
        <w:tc>
          <w:tcPr>
            <w:tcW w:w="0" w:type="auto"/>
            <w:shd w:val="clear" w:color="auto" w:fill="auto"/>
          </w:tcPr>
          <w:p w:rsidR="00B95EA6" w:rsidRDefault="00B95EA6">
            <w:pPr>
              <w:rPr>
                <w:lang w:val="cs-CZ"/>
              </w:rPr>
            </w:pPr>
            <w:r>
              <w:rPr>
                <w:lang w:val="cs-CZ"/>
              </w:rPr>
              <w:t>Článek 4</w:t>
            </w:r>
          </w:p>
        </w:tc>
      </w:tr>
      <w:tr w:rsidR="00B95EA6" w:rsidTr="00A26A8C">
        <w:tc>
          <w:tcPr>
            <w:tcW w:w="0" w:type="auto"/>
            <w:shd w:val="clear" w:color="auto" w:fill="auto"/>
          </w:tcPr>
          <w:p w:rsidR="00B95EA6" w:rsidRDefault="00B95EA6">
            <w:pPr>
              <w:rPr>
                <w:lang w:val="en-GB"/>
              </w:rPr>
            </w:pPr>
            <w:r>
              <w:rPr>
                <w:rStyle w:val="SegmentID"/>
                <w:lang w:val="en-GB"/>
              </w:rPr>
              <w:t>129</w:t>
            </w:r>
            <w:r>
              <w:rPr>
                <w:rStyle w:val="TransUnitID"/>
                <w:lang w:val="en-GB"/>
              </w:rPr>
              <w:t>7233b2c8-a12e-490a-b7ce-8106d66a633e</w:t>
            </w:r>
          </w:p>
        </w:tc>
        <w:tc>
          <w:tcPr>
            <w:tcW w:w="0" w:type="auto"/>
            <w:shd w:val="clear" w:color="auto" w:fill="auto"/>
          </w:tcPr>
          <w:p w:rsidR="00B95EA6" w:rsidRDefault="00B95EA6">
            <w:pPr>
              <w:rPr>
                <w:lang w:val="en-GB"/>
              </w:rPr>
            </w:pPr>
            <w:r>
              <w:rPr>
                <w:lang w:val="en-GB"/>
              </w:rPr>
              <w:t>Member States shall ensure availability at least until 2030 of the 470-694 MHz (‘sub-700 MHz’) frequency band for the terrestrial provision of broadcasting services, including free television, and for use by wireless audio PMSE on the basis of national needs, while taking into account the principle of technological neutrality.</w:t>
            </w:r>
          </w:p>
        </w:tc>
        <w:tc>
          <w:tcPr>
            <w:tcW w:w="0" w:type="auto"/>
            <w:shd w:val="clear" w:color="auto" w:fill="auto"/>
          </w:tcPr>
          <w:p w:rsidR="00B95EA6" w:rsidRDefault="00B95EA6">
            <w:pPr>
              <w:rPr>
                <w:lang w:val="cs-CZ"/>
              </w:rPr>
            </w:pPr>
            <w:r>
              <w:rPr>
                <w:lang w:val="cs-CZ"/>
              </w:rPr>
              <w:t xml:space="preserve">Členské státy zajistí, aby byly k dispozici, až do roku 2030 alespoň ze 470–694 MHz (dále jen „kmitočtové pásmo sub-700 MHz“) a pro poskytování služeb pozemního vysílání, včetně svobodných televizního vysílání a využívání bezdrátových zvukových zařízení PMSE na základě vnitrostátních potřeb, přičemž </w:t>
            </w:r>
            <w:proofErr w:type="gramStart"/>
            <w:r>
              <w:rPr>
                <w:lang w:val="cs-CZ"/>
              </w:rPr>
              <w:t>se</w:t>
            </w:r>
            <w:proofErr w:type="gramEnd"/>
            <w:r>
              <w:rPr>
                <w:lang w:val="cs-CZ"/>
              </w:rPr>
              <w:t xml:space="preserve"> zohlední </w:t>
            </w:r>
            <w:proofErr w:type="gramStart"/>
            <w:r>
              <w:rPr>
                <w:lang w:val="cs-CZ"/>
              </w:rPr>
              <w:t>zásadu</w:t>
            </w:r>
            <w:proofErr w:type="gramEnd"/>
            <w:r>
              <w:rPr>
                <w:lang w:val="cs-CZ"/>
              </w:rPr>
              <w:t xml:space="preserve"> technologické neutrality.</w:t>
            </w:r>
          </w:p>
        </w:tc>
      </w:tr>
      <w:tr w:rsidR="00B95EA6" w:rsidTr="00A26A8C">
        <w:tc>
          <w:tcPr>
            <w:tcW w:w="0" w:type="auto"/>
            <w:shd w:val="clear" w:color="auto" w:fill="auto"/>
          </w:tcPr>
          <w:p w:rsidR="00B95EA6" w:rsidRDefault="00B95EA6">
            <w:pPr>
              <w:rPr>
                <w:lang w:val="en-GB"/>
              </w:rPr>
            </w:pPr>
            <w:r>
              <w:rPr>
                <w:rStyle w:val="SegmentID"/>
                <w:lang w:val="en-GB"/>
              </w:rPr>
              <w:t>130</w:t>
            </w:r>
            <w:r>
              <w:rPr>
                <w:rStyle w:val="TransUnitID"/>
                <w:lang w:val="en-GB"/>
              </w:rPr>
              <w:t>7233b2c8-a12e-490a-b7ce-8106d66a633e</w:t>
            </w:r>
          </w:p>
        </w:tc>
        <w:tc>
          <w:tcPr>
            <w:tcW w:w="0" w:type="auto"/>
            <w:shd w:val="clear" w:color="auto" w:fill="auto"/>
          </w:tcPr>
          <w:p w:rsidR="00B95EA6" w:rsidRDefault="00B95EA6">
            <w:pPr>
              <w:rPr>
                <w:lang w:val="en-GB"/>
              </w:rPr>
            </w:pPr>
            <w:r>
              <w:rPr>
                <w:lang w:val="en-GB"/>
              </w:rPr>
              <w:t>Member States shall ensure that any other use of the sub-700 MHz frequency band on their territory is compatible with the national broadcasting needs in the relevant Member State and does not cause harmful interference to, or claim protection from, the terrestrial provision of broadcasting services in a neighbouring Member State.</w:t>
            </w:r>
          </w:p>
        </w:tc>
        <w:tc>
          <w:tcPr>
            <w:tcW w:w="0" w:type="auto"/>
            <w:shd w:val="clear" w:color="auto" w:fill="auto"/>
          </w:tcPr>
          <w:p w:rsidR="00B95EA6" w:rsidRDefault="00B95EA6">
            <w:pPr>
              <w:rPr>
                <w:lang w:val="cs-CZ"/>
              </w:rPr>
            </w:pPr>
            <w:r>
              <w:rPr>
                <w:lang w:val="cs-CZ"/>
              </w:rPr>
              <w:t xml:space="preserve">Členské státy zajistí, aby jakákoli jiná použití sub-700 MHz na svém území v souladu s vnitrostátními televizního vysílání musí v příslušném členském státě a mít škodlivé rušení nebo ochrana </w:t>
            </w:r>
            <w:proofErr w:type="gramStart"/>
            <w:r>
              <w:rPr>
                <w:lang w:val="cs-CZ"/>
              </w:rPr>
              <w:t>před</w:t>
            </w:r>
            <w:proofErr w:type="gramEnd"/>
            <w:r>
              <w:rPr>
                <w:lang w:val="cs-CZ"/>
              </w:rPr>
              <w:t xml:space="preserve"> tvrdí, že služby televizního vysílání poskytovány v sousedních členských státech.</w:t>
            </w:r>
          </w:p>
        </w:tc>
      </w:tr>
      <w:tr w:rsidR="00B95EA6" w:rsidTr="00A26A8C">
        <w:tc>
          <w:tcPr>
            <w:tcW w:w="0" w:type="auto"/>
            <w:shd w:val="clear" w:color="auto" w:fill="auto"/>
          </w:tcPr>
          <w:p w:rsidR="00B95EA6" w:rsidRDefault="00B95EA6">
            <w:pPr>
              <w:rPr>
                <w:lang w:val="en-GB"/>
              </w:rPr>
            </w:pPr>
            <w:r>
              <w:rPr>
                <w:rStyle w:val="SegmentID"/>
                <w:lang w:val="en-GB"/>
              </w:rPr>
              <w:t>131</w:t>
            </w:r>
            <w:r>
              <w:rPr>
                <w:rStyle w:val="TransUnitID"/>
                <w:lang w:val="en-GB"/>
              </w:rPr>
              <w:t>7233b2c8-a12e-490a-b7ce-8106d66a633e</w:t>
            </w:r>
          </w:p>
        </w:tc>
        <w:tc>
          <w:tcPr>
            <w:tcW w:w="0" w:type="auto"/>
            <w:shd w:val="clear" w:color="auto" w:fill="auto"/>
          </w:tcPr>
          <w:p w:rsidR="00B95EA6" w:rsidRDefault="00B95EA6">
            <w:pPr>
              <w:rPr>
                <w:lang w:val="en-GB"/>
              </w:rPr>
            </w:pPr>
            <w:r>
              <w:rPr>
                <w:lang w:val="en-GB"/>
              </w:rPr>
              <w:t>Such use shall be without prejudice to obligations resulting from international agreements, such as cross-border frequency-coordination agreements.</w:t>
            </w:r>
          </w:p>
        </w:tc>
        <w:tc>
          <w:tcPr>
            <w:tcW w:w="0" w:type="auto"/>
            <w:shd w:val="clear" w:color="auto" w:fill="auto"/>
          </w:tcPr>
          <w:p w:rsidR="00B95EA6" w:rsidRDefault="00B95EA6">
            <w:pPr>
              <w:rPr>
                <w:lang w:val="cs-CZ"/>
              </w:rPr>
            </w:pPr>
            <w:r>
              <w:rPr>
                <w:lang w:val="cs-CZ"/>
              </w:rPr>
              <w:t xml:space="preserve">Takové použití nejsou dotčeny závazky vyplývající z mezinárodních smluv, jako je přeshraniční </w:t>
            </w:r>
            <w:proofErr w:type="spellStart"/>
            <w:r>
              <w:rPr>
                <w:lang w:val="cs-CZ"/>
              </w:rPr>
              <w:t>frequency-coordination</w:t>
            </w:r>
            <w:proofErr w:type="spellEnd"/>
            <w:r>
              <w:rPr>
                <w:lang w:val="cs-CZ"/>
              </w:rPr>
              <w:t xml:space="preserve"> smluv.</w:t>
            </w:r>
          </w:p>
        </w:tc>
      </w:tr>
      <w:tr w:rsidR="00B95EA6" w:rsidTr="00A26A8C">
        <w:tc>
          <w:tcPr>
            <w:tcW w:w="0" w:type="auto"/>
            <w:shd w:val="clear" w:color="auto" w:fill="auto"/>
          </w:tcPr>
          <w:p w:rsidR="00B95EA6" w:rsidRDefault="00B95EA6">
            <w:pPr>
              <w:rPr>
                <w:lang w:val="en-GB"/>
              </w:rPr>
            </w:pPr>
            <w:r>
              <w:rPr>
                <w:rStyle w:val="SegmentID"/>
                <w:lang w:val="en-GB"/>
              </w:rPr>
              <w:t>132</w:t>
            </w:r>
            <w:r>
              <w:rPr>
                <w:rStyle w:val="TransUnitID"/>
                <w:lang w:val="en-GB"/>
              </w:rPr>
              <w:t>ea2f8a9b-3bbc-419b-addb-a0be7606d327</w:t>
            </w:r>
          </w:p>
        </w:tc>
        <w:tc>
          <w:tcPr>
            <w:tcW w:w="0" w:type="auto"/>
            <w:shd w:val="clear" w:color="auto" w:fill="auto"/>
          </w:tcPr>
          <w:p w:rsidR="00B95EA6" w:rsidRDefault="00B95EA6">
            <w:pPr>
              <w:rPr>
                <w:lang w:val="en-GB"/>
              </w:rPr>
            </w:pPr>
            <w:r>
              <w:rPr>
                <w:lang w:val="en-GB"/>
              </w:rPr>
              <w:t>Article 5</w:t>
            </w:r>
          </w:p>
        </w:tc>
        <w:tc>
          <w:tcPr>
            <w:tcW w:w="0" w:type="auto"/>
            <w:shd w:val="clear" w:color="auto" w:fill="auto"/>
          </w:tcPr>
          <w:p w:rsidR="00B95EA6" w:rsidRDefault="00B95EA6">
            <w:pPr>
              <w:rPr>
                <w:lang w:val="cs-CZ"/>
              </w:rPr>
            </w:pPr>
            <w:r>
              <w:rPr>
                <w:lang w:val="cs-CZ"/>
              </w:rPr>
              <w:t>Článek 5</w:t>
            </w:r>
          </w:p>
        </w:tc>
      </w:tr>
      <w:tr w:rsidR="00B95EA6" w:rsidTr="00A26A8C">
        <w:tc>
          <w:tcPr>
            <w:tcW w:w="0" w:type="auto"/>
            <w:shd w:val="clear" w:color="auto" w:fill="auto"/>
          </w:tcPr>
          <w:p w:rsidR="00B95EA6" w:rsidRDefault="00B95EA6">
            <w:pPr>
              <w:rPr>
                <w:lang w:val="en-GB"/>
              </w:rPr>
            </w:pPr>
            <w:r>
              <w:rPr>
                <w:rStyle w:val="SegmentID"/>
                <w:lang w:val="en-GB"/>
              </w:rPr>
              <w:t>133</w:t>
            </w:r>
            <w:r>
              <w:rPr>
                <w:rStyle w:val="TransUnitID"/>
                <w:lang w:val="en-GB"/>
              </w:rPr>
              <w:t>27d01816-6f99-49b4-b33c-8105aa72b8f8</w:t>
            </w:r>
          </w:p>
        </w:tc>
        <w:tc>
          <w:tcPr>
            <w:tcW w:w="0" w:type="auto"/>
            <w:shd w:val="clear" w:color="auto" w:fill="auto"/>
          </w:tcPr>
          <w:p w:rsidR="00B95EA6" w:rsidRDefault="00B95EA6">
            <w:pPr>
              <w:rPr>
                <w:lang w:val="en-GB"/>
              </w:rPr>
            </w:pPr>
            <w:r>
              <w:rPr>
                <w:lang w:val="en-GB"/>
              </w:rPr>
              <w:t>1.</w:t>
            </w:r>
          </w:p>
        </w:tc>
        <w:tc>
          <w:tcPr>
            <w:tcW w:w="0" w:type="auto"/>
            <w:shd w:val="clear" w:color="auto" w:fill="auto"/>
          </w:tcPr>
          <w:p w:rsidR="00B95EA6" w:rsidRDefault="00B95EA6">
            <w:pPr>
              <w:rPr>
                <w:lang w:val="cs-CZ"/>
              </w:rPr>
            </w:pPr>
            <w:r>
              <w:rPr>
                <w:lang w:val="cs-CZ"/>
              </w:rPr>
              <w:t>1.</w:t>
            </w:r>
          </w:p>
        </w:tc>
      </w:tr>
      <w:tr w:rsidR="00B95EA6" w:rsidTr="00A26A8C">
        <w:tc>
          <w:tcPr>
            <w:tcW w:w="0" w:type="auto"/>
            <w:shd w:val="clear" w:color="auto" w:fill="auto"/>
          </w:tcPr>
          <w:p w:rsidR="00B95EA6" w:rsidRDefault="00B95EA6">
            <w:pPr>
              <w:rPr>
                <w:lang w:val="en-GB"/>
              </w:rPr>
            </w:pPr>
            <w:r>
              <w:rPr>
                <w:rStyle w:val="SegmentID"/>
                <w:lang w:val="en-GB"/>
              </w:rPr>
              <w:t>134</w:t>
            </w:r>
            <w:r>
              <w:rPr>
                <w:rStyle w:val="TransUnitID"/>
                <w:lang w:val="en-GB"/>
              </w:rPr>
              <w:t>27d01816-6f99-49b4-b33c-8105aa72b8f8</w:t>
            </w:r>
          </w:p>
        </w:tc>
        <w:tc>
          <w:tcPr>
            <w:tcW w:w="0" w:type="auto"/>
            <w:shd w:val="clear" w:color="auto" w:fill="auto"/>
          </w:tcPr>
          <w:p w:rsidR="00B95EA6" w:rsidRDefault="00B95EA6">
            <w:pPr>
              <w:rPr>
                <w:lang w:val="en-GB"/>
              </w:rPr>
            </w:pPr>
            <w:r>
              <w:rPr>
                <w:lang w:val="en-GB"/>
              </w:rPr>
              <w:t xml:space="preserve">As soon as </w:t>
            </w:r>
            <w:proofErr w:type="gramStart"/>
            <w:r>
              <w:rPr>
                <w:lang w:val="en-GB"/>
              </w:rPr>
              <w:t>possible and</w:t>
            </w:r>
            <w:proofErr w:type="gramEnd"/>
            <w:r>
              <w:rPr>
                <w:lang w:val="en-GB"/>
              </w:rPr>
              <w:t xml:space="preserve"> no later than 30 June 2018, Member States shall adopt and make public their national plan and schedule (‘national roadmap’), including detailed steps for fulfilling their obligations under Articles 1 and 4.</w:t>
            </w:r>
          </w:p>
        </w:tc>
        <w:tc>
          <w:tcPr>
            <w:tcW w:w="0" w:type="auto"/>
            <w:shd w:val="clear" w:color="auto" w:fill="auto"/>
          </w:tcPr>
          <w:p w:rsidR="00B95EA6" w:rsidRDefault="00B95EA6">
            <w:pPr>
              <w:rPr>
                <w:lang w:val="cs-CZ"/>
              </w:rPr>
            </w:pPr>
            <w:r>
              <w:rPr>
                <w:lang w:val="cs-CZ"/>
              </w:rPr>
              <w:t>Co nejdříve a nejpozději do 30. června 2018, členské státy přijmou a zveřejní své vnitrostátní plány a jejich vnitrostátní (dále jen „</w:t>
            </w:r>
            <w:proofErr w:type="spellStart"/>
            <w:r>
              <w:rPr>
                <w:lang w:val="cs-CZ"/>
              </w:rPr>
              <w:t>European</w:t>
            </w:r>
            <w:proofErr w:type="spellEnd"/>
            <w:r>
              <w:rPr>
                <w:lang w:val="cs-CZ"/>
              </w:rPr>
              <w:t xml:space="preserve"> </w:t>
            </w:r>
            <w:proofErr w:type="spellStart"/>
            <w:r>
              <w:rPr>
                <w:lang w:val="cs-CZ"/>
              </w:rPr>
              <w:t>Roadmap</w:t>
            </w:r>
            <w:proofErr w:type="spellEnd"/>
            <w:r>
              <w:rPr>
                <w:lang w:val="cs-CZ"/>
              </w:rPr>
              <w:t>“), včetně prováděcích opatření pro splnění svých povinností podle čl. 4 odst. 1 a čl.</w:t>
            </w:r>
          </w:p>
        </w:tc>
      </w:tr>
      <w:tr w:rsidR="00B95EA6" w:rsidTr="00A26A8C">
        <w:tc>
          <w:tcPr>
            <w:tcW w:w="0" w:type="auto"/>
            <w:shd w:val="clear" w:color="auto" w:fill="auto"/>
          </w:tcPr>
          <w:p w:rsidR="00B95EA6" w:rsidRDefault="00B95EA6">
            <w:pPr>
              <w:rPr>
                <w:lang w:val="en-GB"/>
              </w:rPr>
            </w:pPr>
            <w:r>
              <w:rPr>
                <w:rStyle w:val="SegmentID"/>
                <w:lang w:val="en-GB"/>
              </w:rPr>
              <w:t>135</w:t>
            </w:r>
            <w:r>
              <w:rPr>
                <w:rStyle w:val="TransUnitID"/>
                <w:lang w:val="en-GB"/>
              </w:rPr>
              <w:t>27d01816-6f99-49b4-b33c-8105aa72b8f8</w:t>
            </w:r>
          </w:p>
        </w:tc>
        <w:tc>
          <w:tcPr>
            <w:tcW w:w="0" w:type="auto"/>
            <w:shd w:val="clear" w:color="auto" w:fill="auto"/>
          </w:tcPr>
          <w:p w:rsidR="00B95EA6" w:rsidRDefault="00B95EA6">
            <w:pPr>
              <w:rPr>
                <w:lang w:val="en-GB"/>
              </w:rPr>
            </w:pPr>
            <w:r>
              <w:rPr>
                <w:lang w:val="en-GB"/>
              </w:rPr>
              <w:t>Member States shall draw up their national roadmaps after consulting all relevant stakeholders.</w:t>
            </w:r>
          </w:p>
        </w:tc>
        <w:tc>
          <w:tcPr>
            <w:tcW w:w="0" w:type="auto"/>
            <w:shd w:val="clear" w:color="auto" w:fill="auto"/>
          </w:tcPr>
          <w:p w:rsidR="00B95EA6" w:rsidRDefault="00B95EA6">
            <w:pPr>
              <w:rPr>
                <w:lang w:val="cs-CZ"/>
              </w:rPr>
            </w:pPr>
            <w:r>
              <w:rPr>
                <w:lang w:val="cs-CZ"/>
              </w:rPr>
              <w:t>Členské státy zajistí vypracování vnitrostátních plánů po konzultaci se všemi zúčastněnými stranami.</w:t>
            </w:r>
          </w:p>
        </w:tc>
      </w:tr>
      <w:tr w:rsidR="00B95EA6" w:rsidTr="00A26A8C">
        <w:tc>
          <w:tcPr>
            <w:tcW w:w="0" w:type="auto"/>
            <w:shd w:val="clear" w:color="auto" w:fill="auto"/>
          </w:tcPr>
          <w:p w:rsidR="00B95EA6" w:rsidRDefault="00B95EA6">
            <w:pPr>
              <w:rPr>
                <w:lang w:val="en-GB"/>
              </w:rPr>
            </w:pPr>
            <w:r>
              <w:rPr>
                <w:rStyle w:val="SegmentID"/>
                <w:lang w:val="en-GB"/>
              </w:rPr>
              <w:t>136</w:t>
            </w:r>
            <w:r>
              <w:rPr>
                <w:rStyle w:val="TransUnitID"/>
                <w:lang w:val="en-GB"/>
              </w:rPr>
              <w:t>ff9cd8bf-a724-4b91-8649-42ed936041ae</w:t>
            </w:r>
          </w:p>
        </w:tc>
        <w:tc>
          <w:tcPr>
            <w:tcW w:w="0" w:type="auto"/>
            <w:shd w:val="clear" w:color="auto" w:fill="auto"/>
          </w:tcPr>
          <w:p w:rsidR="00B95EA6" w:rsidRDefault="00B95EA6">
            <w:pPr>
              <w:rPr>
                <w:lang w:val="en-GB"/>
              </w:rPr>
            </w:pPr>
            <w:r>
              <w:rPr>
                <w:lang w:val="en-GB"/>
              </w:rPr>
              <w:t>2.</w:t>
            </w:r>
          </w:p>
        </w:tc>
        <w:tc>
          <w:tcPr>
            <w:tcW w:w="0" w:type="auto"/>
            <w:shd w:val="clear" w:color="auto" w:fill="auto"/>
          </w:tcPr>
          <w:p w:rsidR="00B95EA6" w:rsidRDefault="00B95EA6">
            <w:pPr>
              <w:rPr>
                <w:lang w:val="cs-CZ"/>
              </w:rPr>
            </w:pPr>
            <w:r>
              <w:rPr>
                <w:lang w:val="cs-CZ"/>
              </w:rPr>
              <w:t>2.</w:t>
            </w:r>
          </w:p>
        </w:tc>
      </w:tr>
      <w:tr w:rsidR="00B95EA6" w:rsidTr="00A26A8C">
        <w:tc>
          <w:tcPr>
            <w:tcW w:w="0" w:type="auto"/>
            <w:shd w:val="clear" w:color="auto" w:fill="auto"/>
          </w:tcPr>
          <w:p w:rsidR="00B95EA6" w:rsidRDefault="00B95EA6">
            <w:pPr>
              <w:rPr>
                <w:lang w:val="en-GB"/>
              </w:rPr>
            </w:pPr>
            <w:r>
              <w:rPr>
                <w:rStyle w:val="SegmentID"/>
                <w:lang w:val="en-GB"/>
              </w:rPr>
              <w:t>137</w:t>
            </w:r>
            <w:r>
              <w:rPr>
                <w:rStyle w:val="TransUnitID"/>
                <w:lang w:val="en-GB"/>
              </w:rPr>
              <w:t>ff9cd8bf-a724-4b91-8649-42ed936041ae</w:t>
            </w:r>
          </w:p>
        </w:tc>
        <w:tc>
          <w:tcPr>
            <w:tcW w:w="0" w:type="auto"/>
            <w:shd w:val="clear" w:color="auto" w:fill="auto"/>
          </w:tcPr>
          <w:p w:rsidR="00B95EA6" w:rsidRDefault="00B95EA6">
            <w:pPr>
              <w:rPr>
                <w:lang w:val="en-GB"/>
              </w:rPr>
            </w:pPr>
            <w:r>
              <w:rPr>
                <w:lang w:val="en-GB"/>
              </w:rPr>
              <w:t>In order to ensure that the use of the 700 MHz frequency band is in accordance with Article 1(1), Member States shall include in their national roadmaps, where appropriate, information on measures, including any support measures, to limit the impact of the forthcoming transition process on the public and on wireless audio PMSE use and to facilitate the timely availability of interoperable television broadcasting network equipment and receivers in the internal market.</w:t>
            </w:r>
          </w:p>
        </w:tc>
        <w:tc>
          <w:tcPr>
            <w:tcW w:w="0" w:type="auto"/>
            <w:shd w:val="clear" w:color="auto" w:fill="auto"/>
          </w:tcPr>
          <w:p w:rsidR="00B95EA6" w:rsidRDefault="00B95EA6">
            <w:pPr>
              <w:rPr>
                <w:lang w:val="cs-CZ"/>
              </w:rPr>
            </w:pPr>
            <w:r>
              <w:rPr>
                <w:lang w:val="cs-CZ"/>
              </w:rPr>
              <w:t xml:space="preserve">S cílem zajistit využívání kmitočtového pásma 700 MHz, je v souladu s čl. 1 odst. 1, členské státy ve svých vnitrostátních </w:t>
            </w:r>
            <w:proofErr w:type="gramStart"/>
            <w:r>
              <w:rPr>
                <w:lang w:val="cs-CZ"/>
              </w:rPr>
              <w:t>plánů</w:t>
            </w:r>
            <w:proofErr w:type="gramEnd"/>
            <w:r>
              <w:rPr>
                <w:lang w:val="cs-CZ"/>
              </w:rPr>
              <w:t xml:space="preserve"> a případně informace týkající se opatření, včetně opatření pro omezení dopadu připravovaným procesu přechodu na veřejných a využívání bezdrátových zvukových zařízení PMSE a pro usnadnění včasného dostupné a interoperabilní síť pro televizní přijímače využívající technologii v rámci vnitřního trhu.</w:t>
            </w:r>
          </w:p>
        </w:tc>
      </w:tr>
      <w:tr w:rsidR="00B95EA6" w:rsidTr="00A26A8C">
        <w:tc>
          <w:tcPr>
            <w:tcW w:w="0" w:type="auto"/>
            <w:shd w:val="clear" w:color="auto" w:fill="auto"/>
          </w:tcPr>
          <w:p w:rsidR="00B95EA6" w:rsidRDefault="00B95EA6">
            <w:pPr>
              <w:rPr>
                <w:lang w:val="en-GB"/>
              </w:rPr>
            </w:pPr>
            <w:r>
              <w:rPr>
                <w:rStyle w:val="SegmentID"/>
                <w:lang w:val="en-GB"/>
              </w:rPr>
              <w:lastRenderedPageBreak/>
              <w:t>138</w:t>
            </w:r>
            <w:r>
              <w:rPr>
                <w:rStyle w:val="TransUnitID"/>
                <w:lang w:val="en-GB"/>
              </w:rPr>
              <w:t>45bae47d-4911-49fb-b869-43a8df8e013a</w:t>
            </w:r>
          </w:p>
        </w:tc>
        <w:tc>
          <w:tcPr>
            <w:tcW w:w="0" w:type="auto"/>
            <w:shd w:val="clear" w:color="auto" w:fill="auto"/>
          </w:tcPr>
          <w:p w:rsidR="00B95EA6" w:rsidRDefault="00B95EA6">
            <w:pPr>
              <w:rPr>
                <w:lang w:val="en-GB"/>
              </w:rPr>
            </w:pPr>
            <w:r>
              <w:rPr>
                <w:lang w:val="en-GB"/>
              </w:rPr>
              <w:t>Article 6</w:t>
            </w:r>
          </w:p>
        </w:tc>
        <w:tc>
          <w:tcPr>
            <w:tcW w:w="0" w:type="auto"/>
            <w:shd w:val="clear" w:color="auto" w:fill="auto"/>
          </w:tcPr>
          <w:p w:rsidR="00B95EA6" w:rsidRDefault="00B95EA6">
            <w:pPr>
              <w:rPr>
                <w:lang w:val="cs-CZ"/>
              </w:rPr>
            </w:pPr>
            <w:r>
              <w:rPr>
                <w:lang w:val="cs-CZ"/>
              </w:rPr>
              <w:t>Článek 6</w:t>
            </w:r>
          </w:p>
        </w:tc>
      </w:tr>
      <w:tr w:rsidR="00B95EA6" w:rsidTr="00A26A8C">
        <w:tc>
          <w:tcPr>
            <w:tcW w:w="0" w:type="auto"/>
            <w:shd w:val="clear" w:color="auto" w:fill="auto"/>
          </w:tcPr>
          <w:p w:rsidR="00B95EA6" w:rsidRDefault="00B95EA6">
            <w:pPr>
              <w:rPr>
                <w:lang w:val="en-GB"/>
              </w:rPr>
            </w:pPr>
            <w:r>
              <w:rPr>
                <w:rStyle w:val="SegmentID"/>
                <w:lang w:val="en-GB"/>
              </w:rPr>
              <w:t>139</w:t>
            </w:r>
            <w:r>
              <w:rPr>
                <w:rStyle w:val="TransUnitID"/>
                <w:lang w:val="en-GB"/>
              </w:rPr>
              <w:t>8413bbb9-f23e-4031-a4ae-e56abbdd2f5a</w:t>
            </w:r>
          </w:p>
        </w:tc>
        <w:tc>
          <w:tcPr>
            <w:tcW w:w="0" w:type="auto"/>
            <w:shd w:val="clear" w:color="auto" w:fill="auto"/>
          </w:tcPr>
          <w:p w:rsidR="00B95EA6" w:rsidRDefault="00B95EA6">
            <w:pPr>
              <w:rPr>
                <w:lang w:val="en-GB"/>
              </w:rPr>
            </w:pPr>
            <w:r>
              <w:rPr>
                <w:lang w:val="en-GB"/>
              </w:rPr>
              <w:t>Member States may, where appropriate and in accordance with Union law, ensure that adequate compensation for the direct cost, in particular for end users, of the migration or reallocation of spectrum use is provided promptly and in a transparent manner in order to, inter alia, facilitate transition to more spectrum-efficient technologies.</w:t>
            </w:r>
          </w:p>
        </w:tc>
        <w:tc>
          <w:tcPr>
            <w:tcW w:w="0" w:type="auto"/>
            <w:shd w:val="clear" w:color="auto" w:fill="auto"/>
          </w:tcPr>
          <w:p w:rsidR="00B95EA6" w:rsidRDefault="00B95EA6">
            <w:pPr>
              <w:rPr>
                <w:lang w:val="cs-CZ"/>
              </w:rPr>
            </w:pPr>
            <w:r>
              <w:rPr>
                <w:lang w:val="cs-CZ"/>
              </w:rPr>
              <w:t xml:space="preserve">Členské státy mohou ve vhodných případech a v souladu s právem Unie, zajistit přiměřenou náhradu přímých nákladů, zejména pro konečné uživatele, šíření a využívání spektra výroby je neprodleně a transparentním způsobem s cílem usnadnit mimo jiné k přechodu </w:t>
            </w:r>
            <w:proofErr w:type="spellStart"/>
            <w:r>
              <w:rPr>
                <w:lang w:val="cs-CZ"/>
              </w:rPr>
              <w:t>spectrum-efficient</w:t>
            </w:r>
            <w:proofErr w:type="spellEnd"/>
            <w:r>
              <w:rPr>
                <w:lang w:val="cs-CZ"/>
              </w:rPr>
              <w:t xml:space="preserve"> technologií.</w:t>
            </w:r>
          </w:p>
        </w:tc>
      </w:tr>
      <w:tr w:rsidR="00B95EA6" w:rsidTr="00A26A8C">
        <w:tc>
          <w:tcPr>
            <w:tcW w:w="0" w:type="auto"/>
            <w:shd w:val="clear" w:color="auto" w:fill="auto"/>
          </w:tcPr>
          <w:p w:rsidR="00B95EA6" w:rsidRDefault="00B95EA6">
            <w:pPr>
              <w:rPr>
                <w:lang w:val="en-GB"/>
              </w:rPr>
            </w:pPr>
            <w:r>
              <w:rPr>
                <w:rStyle w:val="SegmentID"/>
                <w:lang w:val="en-GB"/>
              </w:rPr>
              <w:t>140</w:t>
            </w:r>
            <w:r>
              <w:rPr>
                <w:rStyle w:val="TransUnitID"/>
                <w:lang w:val="en-GB"/>
              </w:rPr>
              <w:t>89ed74dc-853f-49df-ba63-73e8f2d717fd</w:t>
            </w:r>
          </w:p>
        </w:tc>
        <w:tc>
          <w:tcPr>
            <w:tcW w:w="0" w:type="auto"/>
            <w:shd w:val="clear" w:color="auto" w:fill="auto"/>
          </w:tcPr>
          <w:p w:rsidR="00B95EA6" w:rsidRDefault="00B95EA6">
            <w:pPr>
              <w:rPr>
                <w:lang w:val="en-GB"/>
              </w:rPr>
            </w:pPr>
            <w:r>
              <w:rPr>
                <w:lang w:val="en-GB"/>
              </w:rPr>
              <w:t>At the request of the Member State concerned, the Commission may provide guidance on such compensation in order to facilitate the transition in spectrum use.</w:t>
            </w:r>
          </w:p>
        </w:tc>
        <w:tc>
          <w:tcPr>
            <w:tcW w:w="0" w:type="auto"/>
            <w:shd w:val="clear" w:color="auto" w:fill="auto"/>
          </w:tcPr>
          <w:p w:rsidR="00B95EA6" w:rsidRDefault="00B95EA6">
            <w:pPr>
              <w:rPr>
                <w:lang w:val="cs-CZ"/>
              </w:rPr>
            </w:pPr>
            <w:r>
              <w:rPr>
                <w:lang w:val="cs-CZ"/>
              </w:rPr>
              <w:t>Na žádost dotčeného členského státu se může Komise vydat pokyny týkající se jako náhrada za účelem usnadnění přechodu na využívání spektra.</w:t>
            </w:r>
          </w:p>
        </w:tc>
      </w:tr>
      <w:tr w:rsidR="00B95EA6" w:rsidTr="00A26A8C">
        <w:tc>
          <w:tcPr>
            <w:tcW w:w="0" w:type="auto"/>
            <w:shd w:val="clear" w:color="auto" w:fill="auto"/>
          </w:tcPr>
          <w:p w:rsidR="00B95EA6" w:rsidRDefault="00B95EA6">
            <w:pPr>
              <w:rPr>
                <w:lang w:val="en-GB"/>
              </w:rPr>
            </w:pPr>
            <w:r>
              <w:rPr>
                <w:rStyle w:val="SegmentID"/>
                <w:lang w:val="en-GB"/>
              </w:rPr>
              <w:t>141</w:t>
            </w:r>
            <w:r>
              <w:rPr>
                <w:rStyle w:val="TransUnitID"/>
                <w:lang w:val="en-GB"/>
              </w:rPr>
              <w:t>f299967a-537d-45d4-98e0-360c2494c9c7</w:t>
            </w:r>
          </w:p>
        </w:tc>
        <w:tc>
          <w:tcPr>
            <w:tcW w:w="0" w:type="auto"/>
            <w:shd w:val="clear" w:color="auto" w:fill="auto"/>
          </w:tcPr>
          <w:p w:rsidR="00B95EA6" w:rsidRDefault="00B95EA6">
            <w:pPr>
              <w:rPr>
                <w:lang w:val="en-GB"/>
              </w:rPr>
            </w:pPr>
            <w:r>
              <w:rPr>
                <w:lang w:val="en-GB"/>
              </w:rPr>
              <w:t>Article 7</w:t>
            </w:r>
          </w:p>
        </w:tc>
        <w:tc>
          <w:tcPr>
            <w:tcW w:w="0" w:type="auto"/>
            <w:shd w:val="clear" w:color="auto" w:fill="auto"/>
          </w:tcPr>
          <w:p w:rsidR="00B95EA6" w:rsidRDefault="00B95EA6">
            <w:pPr>
              <w:rPr>
                <w:lang w:val="cs-CZ"/>
              </w:rPr>
            </w:pPr>
            <w:r>
              <w:rPr>
                <w:lang w:val="cs-CZ"/>
              </w:rPr>
              <w:t>Článek 7</w:t>
            </w:r>
          </w:p>
        </w:tc>
      </w:tr>
      <w:tr w:rsidR="00B95EA6" w:rsidTr="00A26A8C">
        <w:tc>
          <w:tcPr>
            <w:tcW w:w="0" w:type="auto"/>
            <w:shd w:val="clear" w:color="auto" w:fill="auto"/>
          </w:tcPr>
          <w:p w:rsidR="00B95EA6" w:rsidRDefault="00B95EA6">
            <w:pPr>
              <w:rPr>
                <w:lang w:val="en-GB"/>
              </w:rPr>
            </w:pPr>
            <w:r>
              <w:rPr>
                <w:rStyle w:val="SegmentID"/>
                <w:lang w:val="en-GB"/>
              </w:rPr>
              <w:t>142</w:t>
            </w:r>
            <w:r>
              <w:rPr>
                <w:rStyle w:val="TransUnitID"/>
                <w:lang w:val="en-GB"/>
              </w:rPr>
              <w:t>241a360b-5ce3-45b8-8a5a-9d180ddb3555</w:t>
            </w:r>
          </w:p>
        </w:tc>
        <w:tc>
          <w:tcPr>
            <w:tcW w:w="0" w:type="auto"/>
            <w:shd w:val="clear" w:color="auto" w:fill="auto"/>
          </w:tcPr>
          <w:p w:rsidR="00B95EA6" w:rsidRDefault="00B95EA6">
            <w:pPr>
              <w:rPr>
                <w:lang w:val="en-GB"/>
              </w:rPr>
            </w:pPr>
            <w:r>
              <w:rPr>
                <w:lang w:val="en-GB"/>
              </w:rPr>
              <w:t>The Commission shall, in cooperation with the Member States, report to the European Parliament and to the Council on developments in the use of the sub-700 MHz frequency band, with a view to ensuring efficient use of spectrum, pursuant to the applicable Union law.</w:t>
            </w:r>
          </w:p>
        </w:tc>
        <w:tc>
          <w:tcPr>
            <w:tcW w:w="0" w:type="auto"/>
            <w:shd w:val="clear" w:color="auto" w:fill="auto"/>
          </w:tcPr>
          <w:p w:rsidR="00B95EA6" w:rsidRDefault="00B95EA6">
            <w:pPr>
              <w:rPr>
                <w:lang w:val="cs-CZ"/>
              </w:rPr>
            </w:pPr>
            <w:r>
              <w:rPr>
                <w:lang w:val="cs-CZ"/>
              </w:rPr>
              <w:t>Komise ve spolupráci s členskými státy, informuje Evropský parlament a Radu o vývoji při použití sub-700 MHz, s cílem zajistit efektivní využívání spektra v souladu s příslušnými právními předpisy Unie.</w:t>
            </w:r>
          </w:p>
        </w:tc>
      </w:tr>
      <w:tr w:rsidR="00B95EA6" w:rsidTr="00A26A8C">
        <w:tc>
          <w:tcPr>
            <w:tcW w:w="0" w:type="auto"/>
            <w:shd w:val="clear" w:color="auto" w:fill="auto"/>
          </w:tcPr>
          <w:p w:rsidR="00B95EA6" w:rsidRDefault="00B95EA6">
            <w:pPr>
              <w:rPr>
                <w:lang w:val="en-GB"/>
              </w:rPr>
            </w:pPr>
            <w:r>
              <w:rPr>
                <w:rStyle w:val="SegmentID"/>
                <w:lang w:val="en-GB"/>
              </w:rPr>
              <w:t>143</w:t>
            </w:r>
            <w:r>
              <w:rPr>
                <w:rStyle w:val="TransUnitID"/>
                <w:lang w:val="en-GB"/>
              </w:rPr>
              <w:t>241a360b-5ce3-45b8-8a5a-9d180ddb3555</w:t>
            </w:r>
          </w:p>
        </w:tc>
        <w:tc>
          <w:tcPr>
            <w:tcW w:w="0" w:type="auto"/>
            <w:shd w:val="clear" w:color="auto" w:fill="auto"/>
          </w:tcPr>
          <w:p w:rsidR="00B95EA6" w:rsidRDefault="00B95EA6">
            <w:pPr>
              <w:rPr>
                <w:lang w:val="en-GB"/>
              </w:rPr>
            </w:pPr>
            <w:r>
              <w:rPr>
                <w:lang w:val="en-GB"/>
              </w:rPr>
              <w:t>The Commission shall take into account the social, economic, cultural and international aspects affecting the use of the sub-700 MHz frequency band pursuant to Articles 1 and 4, further technological developments, changes in consumer behaviour and the requirements in connectivity to foster growth and innovation in the Union.</w:t>
            </w:r>
          </w:p>
        </w:tc>
        <w:tc>
          <w:tcPr>
            <w:tcW w:w="0" w:type="auto"/>
            <w:shd w:val="clear" w:color="auto" w:fill="auto"/>
          </w:tcPr>
          <w:p w:rsidR="00B95EA6" w:rsidRDefault="00B95EA6">
            <w:pPr>
              <w:rPr>
                <w:lang w:val="cs-CZ"/>
              </w:rPr>
            </w:pPr>
            <w:r>
              <w:rPr>
                <w:lang w:val="cs-CZ"/>
              </w:rPr>
              <w:t>Komise musí vzít v potaz sociální, hospodářské, kulturní a mezinárodní aspekty týkající se sub-700 MHz v souladu s články 1 a 4, technologický vývoj, změny chování spotřebitelů a požadavky na připojení na podporu hospodářského růstu a inovací v Unii.</w:t>
            </w:r>
          </w:p>
        </w:tc>
      </w:tr>
      <w:tr w:rsidR="00B95EA6" w:rsidTr="00A26A8C">
        <w:tc>
          <w:tcPr>
            <w:tcW w:w="0" w:type="auto"/>
            <w:shd w:val="clear" w:color="auto" w:fill="auto"/>
          </w:tcPr>
          <w:p w:rsidR="00B95EA6" w:rsidRDefault="00B95EA6">
            <w:pPr>
              <w:rPr>
                <w:lang w:val="en-GB"/>
              </w:rPr>
            </w:pPr>
            <w:r>
              <w:rPr>
                <w:rStyle w:val="SegmentID"/>
                <w:lang w:val="en-GB"/>
              </w:rPr>
              <w:t>144</w:t>
            </w:r>
            <w:r>
              <w:rPr>
                <w:rStyle w:val="TransUnitID"/>
                <w:lang w:val="en-GB"/>
              </w:rPr>
              <w:t>ae348d63-d396-45da-b86a-63928a2ac76a</w:t>
            </w:r>
          </w:p>
        </w:tc>
        <w:tc>
          <w:tcPr>
            <w:tcW w:w="0" w:type="auto"/>
            <w:shd w:val="clear" w:color="auto" w:fill="auto"/>
          </w:tcPr>
          <w:p w:rsidR="00B95EA6" w:rsidRDefault="00B95EA6">
            <w:pPr>
              <w:rPr>
                <w:lang w:val="en-GB"/>
              </w:rPr>
            </w:pPr>
            <w:r>
              <w:rPr>
                <w:lang w:val="en-GB"/>
              </w:rPr>
              <w:t>Article 8</w:t>
            </w:r>
          </w:p>
        </w:tc>
        <w:tc>
          <w:tcPr>
            <w:tcW w:w="0" w:type="auto"/>
            <w:shd w:val="clear" w:color="auto" w:fill="auto"/>
          </w:tcPr>
          <w:p w:rsidR="00B95EA6" w:rsidRDefault="00B95EA6">
            <w:pPr>
              <w:rPr>
                <w:lang w:val="cs-CZ"/>
              </w:rPr>
            </w:pPr>
            <w:r>
              <w:rPr>
                <w:lang w:val="cs-CZ"/>
              </w:rPr>
              <w:t>Článek 8</w:t>
            </w:r>
          </w:p>
        </w:tc>
      </w:tr>
      <w:tr w:rsidR="00B95EA6" w:rsidTr="00A26A8C">
        <w:tc>
          <w:tcPr>
            <w:tcW w:w="0" w:type="auto"/>
            <w:shd w:val="clear" w:color="auto" w:fill="auto"/>
          </w:tcPr>
          <w:p w:rsidR="00B95EA6" w:rsidRDefault="00B95EA6">
            <w:pPr>
              <w:rPr>
                <w:lang w:val="en-GB"/>
              </w:rPr>
            </w:pPr>
            <w:r>
              <w:rPr>
                <w:rStyle w:val="SegmentID"/>
                <w:lang w:val="en-GB"/>
              </w:rPr>
              <w:t>145</w:t>
            </w:r>
            <w:r>
              <w:rPr>
                <w:rStyle w:val="TransUnitID"/>
                <w:lang w:val="en-GB"/>
              </w:rPr>
              <w:t>af3183e3-af9e-4c76-b755-83777b88fdc4</w:t>
            </w:r>
          </w:p>
        </w:tc>
        <w:tc>
          <w:tcPr>
            <w:tcW w:w="0" w:type="auto"/>
            <w:shd w:val="clear" w:color="auto" w:fill="auto"/>
          </w:tcPr>
          <w:p w:rsidR="00B95EA6" w:rsidRDefault="00B95EA6">
            <w:pPr>
              <w:rPr>
                <w:lang w:val="en-GB"/>
              </w:rPr>
            </w:pPr>
            <w:r>
              <w:rPr>
                <w:rStyle w:val="Tag"/>
                <w:lang w:val="en-GB"/>
              </w:rPr>
              <w:t>&lt;371&gt;</w:t>
            </w:r>
            <w:r>
              <w:rPr>
                <w:lang w:val="en-GB"/>
              </w:rPr>
              <w:t>This Decision shall enter into force on the twentieth day following that of its publication in the </w:t>
            </w:r>
            <w:r>
              <w:rPr>
                <w:rStyle w:val="Tag"/>
                <w:lang w:val="en-GB"/>
              </w:rPr>
              <w:t>&lt;/371&gt;&lt;377&gt;</w:t>
            </w:r>
            <w:r>
              <w:rPr>
                <w:lang w:val="en-GB"/>
              </w:rPr>
              <w:t>Official Journal of the European Union</w:t>
            </w:r>
            <w:r>
              <w:rPr>
                <w:rStyle w:val="Tag"/>
                <w:lang w:val="en-GB"/>
              </w:rPr>
              <w:t>&lt;/377&gt;&lt;381&gt;</w:t>
            </w:r>
            <w:r>
              <w:rPr>
                <w:lang w:val="en-GB"/>
              </w:rPr>
              <w:t>.</w:t>
            </w:r>
            <w:r>
              <w:rPr>
                <w:rStyle w:val="Tag"/>
                <w:lang w:val="en-GB"/>
              </w:rPr>
              <w:t>&lt;/381&gt;</w:t>
            </w:r>
          </w:p>
        </w:tc>
        <w:tc>
          <w:tcPr>
            <w:tcW w:w="0" w:type="auto"/>
            <w:shd w:val="clear" w:color="auto" w:fill="auto"/>
          </w:tcPr>
          <w:p w:rsidR="00B95EA6" w:rsidRDefault="00B95EA6">
            <w:pPr>
              <w:rPr>
                <w:lang w:val="cs-CZ"/>
              </w:rPr>
            </w:pPr>
            <w:r>
              <w:rPr>
                <w:lang w:val="cs-CZ"/>
              </w:rPr>
              <w:t>Toto rozhodnutí vstupuje v platnost dvacátým dnem po vyhlášení v Úředním věstníku Evropské unie.</w:t>
            </w:r>
          </w:p>
        </w:tc>
      </w:tr>
      <w:tr w:rsidR="00B95EA6" w:rsidTr="00A26A8C">
        <w:tc>
          <w:tcPr>
            <w:tcW w:w="0" w:type="auto"/>
            <w:shd w:val="clear" w:color="auto" w:fill="auto"/>
          </w:tcPr>
          <w:p w:rsidR="00B95EA6" w:rsidRDefault="00B95EA6">
            <w:pPr>
              <w:rPr>
                <w:lang w:val="en-GB"/>
              </w:rPr>
            </w:pPr>
            <w:r>
              <w:rPr>
                <w:rStyle w:val="SegmentID"/>
                <w:lang w:val="en-GB"/>
              </w:rPr>
              <w:t>146</w:t>
            </w:r>
            <w:r>
              <w:rPr>
                <w:rStyle w:val="TransUnitID"/>
                <w:lang w:val="en-GB"/>
              </w:rPr>
              <w:t>275f0d65-35e2-4bcb-82a7-58cec1a90e58</w:t>
            </w:r>
          </w:p>
        </w:tc>
        <w:tc>
          <w:tcPr>
            <w:tcW w:w="0" w:type="auto"/>
            <w:shd w:val="clear" w:color="auto" w:fill="auto"/>
          </w:tcPr>
          <w:p w:rsidR="00B95EA6" w:rsidRDefault="00B95EA6">
            <w:pPr>
              <w:rPr>
                <w:lang w:val="en-GB"/>
              </w:rPr>
            </w:pPr>
            <w:r>
              <w:rPr>
                <w:lang w:val="en-GB"/>
              </w:rPr>
              <w:t>Article 9</w:t>
            </w:r>
          </w:p>
        </w:tc>
        <w:tc>
          <w:tcPr>
            <w:tcW w:w="0" w:type="auto"/>
            <w:shd w:val="clear" w:color="auto" w:fill="auto"/>
          </w:tcPr>
          <w:p w:rsidR="00B95EA6" w:rsidRDefault="00B95EA6">
            <w:pPr>
              <w:rPr>
                <w:lang w:val="cs-CZ"/>
              </w:rPr>
            </w:pPr>
            <w:r>
              <w:rPr>
                <w:lang w:val="cs-CZ"/>
              </w:rPr>
              <w:t>Článek 9</w:t>
            </w:r>
          </w:p>
        </w:tc>
      </w:tr>
      <w:tr w:rsidR="00B95EA6" w:rsidTr="00A26A8C">
        <w:tc>
          <w:tcPr>
            <w:tcW w:w="0" w:type="auto"/>
            <w:shd w:val="clear" w:color="auto" w:fill="auto"/>
          </w:tcPr>
          <w:p w:rsidR="00B95EA6" w:rsidRDefault="00B95EA6">
            <w:pPr>
              <w:rPr>
                <w:lang w:val="en-GB"/>
              </w:rPr>
            </w:pPr>
            <w:r>
              <w:rPr>
                <w:rStyle w:val="SegmentID"/>
                <w:lang w:val="en-GB"/>
              </w:rPr>
              <w:t>147</w:t>
            </w:r>
            <w:r>
              <w:rPr>
                <w:rStyle w:val="TransUnitID"/>
                <w:lang w:val="en-GB"/>
              </w:rPr>
              <w:t>5f017463-73e1-4fe2-ac6a-e67c79e336c5</w:t>
            </w:r>
          </w:p>
        </w:tc>
        <w:tc>
          <w:tcPr>
            <w:tcW w:w="0" w:type="auto"/>
            <w:shd w:val="clear" w:color="auto" w:fill="auto"/>
          </w:tcPr>
          <w:p w:rsidR="00B95EA6" w:rsidRDefault="00B95EA6">
            <w:pPr>
              <w:rPr>
                <w:lang w:val="en-GB"/>
              </w:rPr>
            </w:pPr>
            <w:r>
              <w:rPr>
                <w:lang w:val="en-GB"/>
              </w:rPr>
              <w:t>This Decision is addressed to the Member States.</w:t>
            </w:r>
          </w:p>
        </w:tc>
        <w:tc>
          <w:tcPr>
            <w:tcW w:w="0" w:type="auto"/>
            <w:shd w:val="clear" w:color="auto" w:fill="auto"/>
          </w:tcPr>
          <w:p w:rsidR="00B95EA6" w:rsidRDefault="00B95EA6">
            <w:pPr>
              <w:rPr>
                <w:lang w:val="cs-CZ"/>
              </w:rPr>
            </w:pPr>
            <w:r>
              <w:rPr>
                <w:lang w:val="cs-CZ"/>
              </w:rPr>
              <w:t>Toto rozhodnutí je určeno členským státům.</w:t>
            </w:r>
          </w:p>
        </w:tc>
      </w:tr>
      <w:tr w:rsidR="00B95EA6" w:rsidTr="00A26A8C">
        <w:tc>
          <w:tcPr>
            <w:tcW w:w="0" w:type="auto"/>
            <w:shd w:val="clear" w:color="auto" w:fill="auto"/>
          </w:tcPr>
          <w:p w:rsidR="00B95EA6" w:rsidRDefault="00B95EA6">
            <w:pPr>
              <w:rPr>
                <w:lang w:val="en-GB"/>
              </w:rPr>
            </w:pPr>
            <w:r>
              <w:rPr>
                <w:rStyle w:val="SegmentID"/>
                <w:lang w:val="en-GB"/>
              </w:rPr>
              <w:t>148</w:t>
            </w:r>
            <w:r>
              <w:rPr>
                <w:rStyle w:val="TransUnitID"/>
                <w:lang w:val="en-GB"/>
              </w:rPr>
              <w:t>25cf6be5-be61-45e5-86f5-866e838c720d</w:t>
            </w:r>
          </w:p>
        </w:tc>
        <w:tc>
          <w:tcPr>
            <w:tcW w:w="0" w:type="auto"/>
            <w:shd w:val="clear" w:color="auto" w:fill="auto"/>
          </w:tcPr>
          <w:p w:rsidR="00B95EA6" w:rsidRDefault="00B95EA6">
            <w:pPr>
              <w:rPr>
                <w:lang w:val="en-GB"/>
              </w:rPr>
            </w:pPr>
            <w:r>
              <w:rPr>
                <w:lang w:val="en-GB"/>
              </w:rPr>
              <w:t>Done at Strasbourg, 17 May 2017.</w:t>
            </w:r>
          </w:p>
        </w:tc>
        <w:tc>
          <w:tcPr>
            <w:tcW w:w="0" w:type="auto"/>
            <w:shd w:val="clear" w:color="auto" w:fill="auto"/>
          </w:tcPr>
          <w:p w:rsidR="00B95EA6" w:rsidRDefault="00B95EA6">
            <w:pPr>
              <w:rPr>
                <w:lang w:val="cs-CZ"/>
              </w:rPr>
            </w:pPr>
            <w:r>
              <w:rPr>
                <w:lang w:val="cs-CZ"/>
              </w:rPr>
              <w:t>Ve Štrasburku dne 17. května 2017.</w:t>
            </w:r>
          </w:p>
        </w:tc>
      </w:tr>
      <w:tr w:rsidR="00B95EA6" w:rsidTr="00A26A8C">
        <w:tc>
          <w:tcPr>
            <w:tcW w:w="0" w:type="auto"/>
            <w:shd w:val="clear" w:color="auto" w:fill="auto"/>
          </w:tcPr>
          <w:p w:rsidR="00B95EA6" w:rsidRDefault="00B95EA6">
            <w:pPr>
              <w:rPr>
                <w:lang w:val="en-GB"/>
              </w:rPr>
            </w:pPr>
            <w:r>
              <w:rPr>
                <w:rStyle w:val="SegmentID"/>
                <w:lang w:val="en-GB"/>
              </w:rPr>
              <w:t>149</w:t>
            </w:r>
            <w:r>
              <w:rPr>
                <w:rStyle w:val="TransUnitID"/>
                <w:lang w:val="en-GB"/>
              </w:rPr>
              <w:t>f963d822-ecef-4e3c-b858-4cffa795ee4c</w:t>
            </w:r>
          </w:p>
        </w:tc>
        <w:tc>
          <w:tcPr>
            <w:tcW w:w="0" w:type="auto"/>
            <w:shd w:val="clear" w:color="auto" w:fill="auto"/>
          </w:tcPr>
          <w:p w:rsidR="00B95EA6" w:rsidRDefault="00B95EA6">
            <w:pPr>
              <w:rPr>
                <w:lang w:val="en-GB"/>
              </w:rPr>
            </w:pPr>
            <w:r>
              <w:rPr>
                <w:lang w:val="en-GB"/>
              </w:rPr>
              <w:t>For the European Parliament</w:t>
            </w:r>
          </w:p>
        </w:tc>
        <w:tc>
          <w:tcPr>
            <w:tcW w:w="0" w:type="auto"/>
            <w:shd w:val="clear" w:color="auto" w:fill="auto"/>
          </w:tcPr>
          <w:p w:rsidR="00B95EA6" w:rsidRDefault="00B95EA6">
            <w:pPr>
              <w:rPr>
                <w:lang w:val="cs-CZ"/>
              </w:rPr>
            </w:pPr>
            <w:r>
              <w:rPr>
                <w:lang w:val="cs-CZ"/>
              </w:rPr>
              <w:t>Evropského parlamentu</w:t>
            </w:r>
          </w:p>
        </w:tc>
      </w:tr>
      <w:tr w:rsidR="00B95EA6" w:rsidTr="00A26A8C">
        <w:tc>
          <w:tcPr>
            <w:tcW w:w="0" w:type="auto"/>
            <w:shd w:val="clear" w:color="auto" w:fill="auto"/>
          </w:tcPr>
          <w:p w:rsidR="00B95EA6" w:rsidRDefault="00B95EA6">
            <w:pPr>
              <w:rPr>
                <w:lang w:val="en-GB"/>
              </w:rPr>
            </w:pPr>
            <w:r>
              <w:rPr>
                <w:rStyle w:val="SegmentID"/>
                <w:lang w:val="en-GB"/>
              </w:rPr>
              <w:t>150</w:t>
            </w:r>
            <w:r>
              <w:rPr>
                <w:rStyle w:val="TransUnitID"/>
                <w:lang w:val="en-GB"/>
              </w:rPr>
              <w:t>4652e53e-43af-4dec-b250-2fae51b33bb6</w:t>
            </w:r>
          </w:p>
        </w:tc>
        <w:tc>
          <w:tcPr>
            <w:tcW w:w="0" w:type="auto"/>
            <w:shd w:val="clear" w:color="auto" w:fill="auto"/>
          </w:tcPr>
          <w:p w:rsidR="00B95EA6" w:rsidRDefault="00B95EA6">
            <w:pPr>
              <w:rPr>
                <w:lang w:val="en-GB"/>
              </w:rPr>
            </w:pPr>
            <w:r>
              <w:rPr>
                <w:lang w:val="en-GB"/>
              </w:rPr>
              <w:t>The President</w:t>
            </w:r>
          </w:p>
        </w:tc>
        <w:tc>
          <w:tcPr>
            <w:tcW w:w="0" w:type="auto"/>
            <w:shd w:val="clear" w:color="auto" w:fill="auto"/>
          </w:tcPr>
          <w:p w:rsidR="00B95EA6" w:rsidRDefault="00B95EA6">
            <w:pPr>
              <w:rPr>
                <w:lang w:val="cs-CZ"/>
              </w:rPr>
            </w:pPr>
            <w:r>
              <w:rPr>
                <w:lang w:val="cs-CZ"/>
              </w:rPr>
              <w:t>předseda</w:t>
            </w:r>
          </w:p>
        </w:tc>
      </w:tr>
      <w:tr w:rsidR="00B95EA6" w:rsidTr="00A26A8C">
        <w:tc>
          <w:tcPr>
            <w:tcW w:w="0" w:type="auto"/>
            <w:shd w:val="clear" w:color="auto" w:fill="auto"/>
          </w:tcPr>
          <w:p w:rsidR="00B95EA6" w:rsidRDefault="00B95EA6">
            <w:pPr>
              <w:rPr>
                <w:lang w:val="en-GB"/>
              </w:rPr>
            </w:pPr>
            <w:r>
              <w:rPr>
                <w:rStyle w:val="SegmentID"/>
                <w:lang w:val="en-GB"/>
              </w:rPr>
              <w:t>151</w:t>
            </w:r>
            <w:r>
              <w:rPr>
                <w:rStyle w:val="TransUnitID"/>
                <w:lang w:val="en-GB"/>
              </w:rPr>
              <w:t>7ff4a5a0-97dd-4fdb-a3d4-703ca091b542</w:t>
            </w:r>
          </w:p>
        </w:tc>
        <w:tc>
          <w:tcPr>
            <w:tcW w:w="0" w:type="auto"/>
            <w:shd w:val="clear" w:color="auto" w:fill="auto"/>
          </w:tcPr>
          <w:p w:rsidR="00B95EA6" w:rsidRDefault="00B95EA6">
            <w:pPr>
              <w:rPr>
                <w:lang w:val="en-GB"/>
              </w:rPr>
            </w:pPr>
            <w:r>
              <w:rPr>
                <w:lang w:val="en-GB"/>
              </w:rPr>
              <w:t>A. TAJANI</w:t>
            </w:r>
          </w:p>
        </w:tc>
        <w:tc>
          <w:tcPr>
            <w:tcW w:w="0" w:type="auto"/>
            <w:shd w:val="clear" w:color="auto" w:fill="auto"/>
          </w:tcPr>
          <w:p w:rsidR="00B95EA6" w:rsidRDefault="00B95EA6">
            <w:pPr>
              <w:rPr>
                <w:lang w:val="cs-CZ"/>
              </w:rPr>
            </w:pPr>
            <w:r>
              <w:rPr>
                <w:lang w:val="cs-CZ"/>
              </w:rPr>
              <w:t>A. TAJANI</w:t>
            </w:r>
          </w:p>
        </w:tc>
      </w:tr>
      <w:tr w:rsidR="00B95EA6" w:rsidTr="00A26A8C">
        <w:tc>
          <w:tcPr>
            <w:tcW w:w="0" w:type="auto"/>
            <w:shd w:val="clear" w:color="auto" w:fill="auto"/>
          </w:tcPr>
          <w:p w:rsidR="00B95EA6" w:rsidRDefault="00B95EA6">
            <w:pPr>
              <w:rPr>
                <w:lang w:val="en-GB"/>
              </w:rPr>
            </w:pPr>
            <w:r>
              <w:rPr>
                <w:rStyle w:val="SegmentID"/>
                <w:lang w:val="en-GB"/>
              </w:rPr>
              <w:t>152</w:t>
            </w:r>
            <w:r>
              <w:rPr>
                <w:rStyle w:val="TransUnitID"/>
                <w:lang w:val="en-GB"/>
              </w:rPr>
              <w:t>8b17ca28-aadf-435f-af81-415c3429d861</w:t>
            </w:r>
          </w:p>
        </w:tc>
        <w:tc>
          <w:tcPr>
            <w:tcW w:w="0" w:type="auto"/>
            <w:shd w:val="clear" w:color="auto" w:fill="auto"/>
          </w:tcPr>
          <w:p w:rsidR="00B95EA6" w:rsidRDefault="00B95EA6">
            <w:pPr>
              <w:rPr>
                <w:lang w:val="en-GB"/>
              </w:rPr>
            </w:pPr>
            <w:r>
              <w:rPr>
                <w:lang w:val="en-GB"/>
              </w:rPr>
              <w:t>For the Council</w:t>
            </w:r>
          </w:p>
        </w:tc>
        <w:tc>
          <w:tcPr>
            <w:tcW w:w="0" w:type="auto"/>
            <w:shd w:val="clear" w:color="auto" w:fill="auto"/>
          </w:tcPr>
          <w:p w:rsidR="00B95EA6" w:rsidRDefault="00B95EA6">
            <w:pPr>
              <w:rPr>
                <w:lang w:val="cs-CZ"/>
              </w:rPr>
            </w:pPr>
            <w:r>
              <w:rPr>
                <w:lang w:val="cs-CZ"/>
              </w:rPr>
              <w:t>Za Radu</w:t>
            </w:r>
          </w:p>
        </w:tc>
      </w:tr>
      <w:tr w:rsidR="00B95EA6" w:rsidTr="00A26A8C">
        <w:tc>
          <w:tcPr>
            <w:tcW w:w="0" w:type="auto"/>
            <w:shd w:val="clear" w:color="auto" w:fill="auto"/>
          </w:tcPr>
          <w:p w:rsidR="00B95EA6" w:rsidRDefault="00B95EA6">
            <w:pPr>
              <w:rPr>
                <w:lang w:val="en-GB"/>
              </w:rPr>
            </w:pPr>
            <w:r>
              <w:rPr>
                <w:rStyle w:val="SegmentID"/>
                <w:lang w:val="en-GB"/>
              </w:rPr>
              <w:t>153</w:t>
            </w:r>
            <w:r>
              <w:rPr>
                <w:rStyle w:val="TransUnitID"/>
                <w:lang w:val="en-GB"/>
              </w:rPr>
              <w:t>c7c4d872-3314-4fd7-a93a-450e8f122181</w:t>
            </w:r>
          </w:p>
        </w:tc>
        <w:tc>
          <w:tcPr>
            <w:tcW w:w="0" w:type="auto"/>
            <w:shd w:val="clear" w:color="auto" w:fill="auto"/>
          </w:tcPr>
          <w:p w:rsidR="00B95EA6" w:rsidRDefault="00B95EA6">
            <w:pPr>
              <w:rPr>
                <w:lang w:val="en-GB"/>
              </w:rPr>
            </w:pPr>
            <w:r>
              <w:rPr>
                <w:lang w:val="en-GB"/>
              </w:rPr>
              <w:t>The President</w:t>
            </w:r>
          </w:p>
        </w:tc>
        <w:tc>
          <w:tcPr>
            <w:tcW w:w="0" w:type="auto"/>
            <w:shd w:val="clear" w:color="auto" w:fill="auto"/>
          </w:tcPr>
          <w:p w:rsidR="00B95EA6" w:rsidRDefault="00B95EA6">
            <w:pPr>
              <w:rPr>
                <w:lang w:val="cs-CZ"/>
              </w:rPr>
            </w:pPr>
            <w:r>
              <w:rPr>
                <w:lang w:val="cs-CZ"/>
              </w:rPr>
              <w:t>předseda</w:t>
            </w:r>
          </w:p>
        </w:tc>
      </w:tr>
      <w:tr w:rsidR="00B95EA6" w:rsidTr="00A26A8C">
        <w:tc>
          <w:tcPr>
            <w:tcW w:w="0" w:type="auto"/>
            <w:shd w:val="clear" w:color="auto" w:fill="auto"/>
          </w:tcPr>
          <w:p w:rsidR="00B95EA6" w:rsidRDefault="00B95EA6">
            <w:pPr>
              <w:rPr>
                <w:lang w:val="en-GB"/>
              </w:rPr>
            </w:pPr>
            <w:r>
              <w:rPr>
                <w:rStyle w:val="SegmentID"/>
                <w:lang w:val="en-GB"/>
              </w:rPr>
              <w:t>154</w:t>
            </w:r>
            <w:r>
              <w:rPr>
                <w:rStyle w:val="TransUnitID"/>
                <w:lang w:val="en-GB"/>
              </w:rPr>
              <w:t>218eb953-abb4-43e5-a879-5c57d2cc7967</w:t>
            </w:r>
          </w:p>
        </w:tc>
        <w:tc>
          <w:tcPr>
            <w:tcW w:w="0" w:type="auto"/>
            <w:shd w:val="clear" w:color="auto" w:fill="auto"/>
          </w:tcPr>
          <w:p w:rsidR="00B95EA6" w:rsidRDefault="00B95EA6">
            <w:pPr>
              <w:rPr>
                <w:lang w:val="en-GB"/>
              </w:rPr>
            </w:pPr>
            <w:r>
              <w:rPr>
                <w:lang w:val="en-GB"/>
              </w:rPr>
              <w:t>C. ABELA</w:t>
            </w:r>
          </w:p>
        </w:tc>
        <w:tc>
          <w:tcPr>
            <w:tcW w:w="0" w:type="auto"/>
            <w:shd w:val="clear" w:color="auto" w:fill="auto"/>
          </w:tcPr>
          <w:p w:rsidR="00B95EA6" w:rsidRDefault="00B95EA6">
            <w:pPr>
              <w:rPr>
                <w:lang w:val="cs-CZ"/>
              </w:rPr>
            </w:pPr>
            <w:r>
              <w:rPr>
                <w:lang w:val="cs-CZ"/>
              </w:rPr>
              <w:t>C. ABELA</w:t>
            </w:r>
          </w:p>
        </w:tc>
      </w:tr>
      <w:tr w:rsidR="00B95EA6" w:rsidTr="00A26A8C">
        <w:tc>
          <w:tcPr>
            <w:tcW w:w="0" w:type="auto"/>
            <w:shd w:val="clear" w:color="auto" w:fill="auto"/>
          </w:tcPr>
          <w:p w:rsidR="00B95EA6" w:rsidRDefault="00B95EA6">
            <w:pPr>
              <w:rPr>
                <w:lang w:val="en-GB"/>
              </w:rPr>
            </w:pPr>
            <w:r>
              <w:rPr>
                <w:rStyle w:val="SegmentID"/>
                <w:lang w:val="en-GB"/>
              </w:rPr>
              <w:t>155</w:t>
            </w:r>
            <w:r>
              <w:rPr>
                <w:rStyle w:val="TransUnitID"/>
                <w:lang w:val="en-GB"/>
              </w:rPr>
              <w:t>bd893f94-19a9-4e56-967b-b17d5a5eb2e3</w:t>
            </w:r>
          </w:p>
        </w:tc>
        <w:tc>
          <w:tcPr>
            <w:tcW w:w="0" w:type="auto"/>
            <w:shd w:val="clear" w:color="auto" w:fill="auto"/>
          </w:tcPr>
          <w:p w:rsidR="00B95EA6" w:rsidRDefault="00B95EA6">
            <w:pPr>
              <w:rPr>
                <w:lang w:val="en-GB"/>
              </w:rPr>
            </w:pPr>
            <w:r>
              <w:rPr>
                <w:rStyle w:val="Tag"/>
                <w:lang w:val="en-GB"/>
              </w:rPr>
              <w:t>&lt;413&gt;</w:t>
            </w:r>
            <w:r>
              <w:rPr>
                <w:lang w:val="en-GB"/>
              </w:rPr>
              <w:t>(1)</w:t>
            </w:r>
            <w:r>
              <w:rPr>
                <w:rStyle w:val="Tag"/>
                <w:lang w:val="en-GB"/>
              </w:rPr>
              <w:t>&lt;/413&gt;&lt;426&gt;</w:t>
            </w:r>
            <w:r>
              <w:rPr>
                <w:lang w:val="en-GB"/>
              </w:rPr>
              <w:t>  </w:t>
            </w:r>
            <w:r>
              <w:rPr>
                <w:rStyle w:val="Tag"/>
                <w:lang w:val="en-GB"/>
              </w:rPr>
              <w:t>&lt;/426&gt;&lt;427&gt;</w:t>
            </w:r>
            <w:r>
              <w:rPr>
                <w:lang w:val="en-GB"/>
              </w:rPr>
              <w:t>OJ C 303, 19.8.2016, p. 127</w:t>
            </w:r>
            <w:r>
              <w:rPr>
                <w:rStyle w:val="Tag"/>
                <w:lang w:val="en-GB"/>
              </w:rPr>
              <w:t>&lt;/427&gt;&lt;433&gt;</w:t>
            </w:r>
            <w:r>
              <w:rPr>
                <w:lang w:val="en-GB"/>
              </w:rPr>
              <w:t>.</w:t>
            </w:r>
            <w:r>
              <w:rPr>
                <w:rStyle w:val="Tag"/>
                <w:lang w:val="en-GB"/>
              </w:rPr>
              <w:t>&lt;/433&gt;</w:t>
            </w:r>
          </w:p>
        </w:tc>
        <w:tc>
          <w:tcPr>
            <w:tcW w:w="0" w:type="auto"/>
            <w:shd w:val="clear" w:color="auto" w:fill="auto"/>
          </w:tcPr>
          <w:p w:rsidR="00B95EA6" w:rsidRDefault="00B95EA6">
            <w:pPr>
              <w:rPr>
                <w:lang w:val="cs-CZ"/>
              </w:rPr>
            </w:pPr>
            <w:r>
              <w:rPr>
                <w:lang w:val="cs-CZ"/>
              </w:rPr>
              <w:t>(1) (</w:t>
            </w:r>
            <w:proofErr w:type="spellStart"/>
            <w:r>
              <w:rPr>
                <w:lang w:val="cs-CZ"/>
              </w:rPr>
              <w:t>Úř</w:t>
            </w:r>
            <w:proofErr w:type="spellEnd"/>
            <w:r>
              <w:rPr>
                <w:lang w:val="cs-CZ"/>
              </w:rPr>
              <w:t xml:space="preserve">. </w:t>
            </w:r>
            <w:proofErr w:type="spellStart"/>
            <w:proofErr w:type="gramStart"/>
            <w:r>
              <w:rPr>
                <w:lang w:val="cs-CZ"/>
              </w:rPr>
              <w:t>věst</w:t>
            </w:r>
            <w:proofErr w:type="spellEnd"/>
            <w:proofErr w:type="gramEnd"/>
            <w:r>
              <w:rPr>
                <w:lang w:val="cs-CZ"/>
              </w:rPr>
              <w:t xml:space="preserve">. C 303, </w:t>
            </w:r>
            <w:proofErr w:type="gramStart"/>
            <w:r>
              <w:rPr>
                <w:lang w:val="cs-CZ"/>
              </w:rPr>
              <w:t>19.8.2016</w:t>
            </w:r>
            <w:proofErr w:type="gramEnd"/>
            <w:r>
              <w:rPr>
                <w:lang w:val="cs-CZ"/>
              </w:rPr>
              <w:t>, s. 127.</w:t>
            </w:r>
          </w:p>
        </w:tc>
      </w:tr>
      <w:tr w:rsidR="00B95EA6" w:rsidTr="00A26A8C">
        <w:tc>
          <w:tcPr>
            <w:tcW w:w="0" w:type="auto"/>
            <w:shd w:val="clear" w:color="auto" w:fill="auto"/>
          </w:tcPr>
          <w:p w:rsidR="00B95EA6" w:rsidRDefault="00B95EA6">
            <w:pPr>
              <w:rPr>
                <w:lang w:val="en-GB"/>
              </w:rPr>
            </w:pPr>
            <w:r>
              <w:rPr>
                <w:rStyle w:val="SegmentID"/>
                <w:lang w:val="en-GB"/>
              </w:rPr>
              <w:t>156</w:t>
            </w:r>
            <w:r>
              <w:rPr>
                <w:rStyle w:val="TransUnitID"/>
                <w:lang w:val="en-GB"/>
              </w:rPr>
              <w:t>53159fc4-7714-4203-96b9-58db8e24c133</w:t>
            </w:r>
          </w:p>
        </w:tc>
        <w:tc>
          <w:tcPr>
            <w:tcW w:w="0" w:type="auto"/>
            <w:shd w:val="clear" w:color="auto" w:fill="auto"/>
          </w:tcPr>
          <w:p w:rsidR="00B95EA6" w:rsidRDefault="00B95EA6">
            <w:pPr>
              <w:rPr>
                <w:lang w:val="en-GB"/>
              </w:rPr>
            </w:pPr>
            <w:r>
              <w:rPr>
                <w:lang w:val="en-GB"/>
              </w:rPr>
              <w:t>http://eur-lex.europa.eu/legal-content/EN/TXT/?qid=1495697061931&amp;uri=CELEX:32017D0899</w:t>
            </w:r>
          </w:p>
        </w:tc>
        <w:tc>
          <w:tcPr>
            <w:tcW w:w="0" w:type="auto"/>
            <w:shd w:val="clear" w:color="auto" w:fill="auto"/>
          </w:tcPr>
          <w:p w:rsidR="00B95EA6" w:rsidRDefault="00B95EA6">
            <w:pPr>
              <w:rPr>
                <w:lang w:val="cs-CZ"/>
              </w:rPr>
            </w:pPr>
            <w:r>
              <w:rPr>
                <w:lang w:val="cs-CZ"/>
              </w:rPr>
              <w:t>http://eur-lex.europa.eu/legal-content/EN/TXT/?qid=1495697061931&amp;uri=CELEX:32017D0899.</w:t>
            </w:r>
          </w:p>
        </w:tc>
      </w:tr>
      <w:tr w:rsidR="00B95EA6" w:rsidTr="00A26A8C">
        <w:tc>
          <w:tcPr>
            <w:tcW w:w="0" w:type="auto"/>
            <w:shd w:val="clear" w:color="auto" w:fill="auto"/>
          </w:tcPr>
          <w:p w:rsidR="00B95EA6" w:rsidRDefault="00B95EA6">
            <w:pPr>
              <w:rPr>
                <w:lang w:val="en-GB"/>
              </w:rPr>
            </w:pPr>
            <w:r>
              <w:rPr>
                <w:rStyle w:val="SegmentID"/>
                <w:lang w:val="en-GB"/>
              </w:rPr>
              <w:t>157</w:t>
            </w:r>
            <w:r>
              <w:rPr>
                <w:rStyle w:val="TransUnitID"/>
                <w:lang w:val="en-GB"/>
              </w:rPr>
              <w:t>2c37799d-1a91-4bba-9b51-cc5e48d83469</w:t>
            </w:r>
          </w:p>
        </w:tc>
        <w:tc>
          <w:tcPr>
            <w:tcW w:w="0" w:type="auto"/>
            <w:shd w:val="clear" w:color="auto" w:fill="auto"/>
          </w:tcPr>
          <w:p w:rsidR="00B95EA6" w:rsidRDefault="00B95EA6">
            <w:pPr>
              <w:rPr>
                <w:lang w:val="en-GB"/>
              </w:rPr>
            </w:pPr>
            <w:r>
              <w:rPr>
                <w:lang w:val="en-GB"/>
              </w:rPr>
              <w:t>http://eur-lex.europa.eu/legal-content/EN/AUTO/?uri=OJ:C:2016:303:TOC</w:t>
            </w:r>
          </w:p>
        </w:tc>
        <w:tc>
          <w:tcPr>
            <w:tcW w:w="0" w:type="auto"/>
            <w:shd w:val="clear" w:color="auto" w:fill="auto"/>
          </w:tcPr>
          <w:p w:rsidR="00B95EA6" w:rsidRDefault="00B95EA6">
            <w:pPr>
              <w:rPr>
                <w:lang w:val="cs-CZ"/>
              </w:rPr>
            </w:pPr>
            <w:r>
              <w:rPr>
                <w:lang w:val="cs-CZ"/>
              </w:rPr>
              <w:t>http://eur-lex.europa.eu/legal-content/EN/AUTO/?uri=OJ:C:2016:303:TOC.</w:t>
            </w:r>
          </w:p>
        </w:tc>
      </w:tr>
      <w:tr w:rsidR="00B95EA6" w:rsidTr="00A26A8C">
        <w:tc>
          <w:tcPr>
            <w:tcW w:w="0" w:type="auto"/>
            <w:shd w:val="clear" w:color="auto" w:fill="auto"/>
          </w:tcPr>
          <w:p w:rsidR="00B95EA6" w:rsidRDefault="00B95EA6">
            <w:pPr>
              <w:rPr>
                <w:lang w:val="en-GB"/>
              </w:rPr>
            </w:pPr>
            <w:r>
              <w:rPr>
                <w:rStyle w:val="SegmentID"/>
                <w:lang w:val="en-GB"/>
              </w:rPr>
              <w:t>158</w:t>
            </w:r>
            <w:r>
              <w:rPr>
                <w:rStyle w:val="TransUnitID"/>
                <w:lang w:val="en-GB"/>
              </w:rPr>
              <w:t>4d2fd25d-179d-4b06-a9b0-9d342e514968</w:t>
            </w:r>
          </w:p>
        </w:tc>
        <w:tc>
          <w:tcPr>
            <w:tcW w:w="0" w:type="auto"/>
            <w:shd w:val="clear" w:color="auto" w:fill="auto"/>
          </w:tcPr>
          <w:p w:rsidR="00B95EA6" w:rsidRDefault="00B95EA6">
            <w:pPr>
              <w:rPr>
                <w:lang w:val="en-GB"/>
              </w:rPr>
            </w:pPr>
            <w:r>
              <w:rPr>
                <w:rStyle w:val="Tag"/>
                <w:lang w:val="en-GB"/>
              </w:rPr>
              <w:t>&lt;434&gt;</w:t>
            </w:r>
            <w:r>
              <w:rPr>
                <w:lang w:val="en-GB"/>
              </w:rPr>
              <w:t>(2)</w:t>
            </w:r>
            <w:r>
              <w:rPr>
                <w:rStyle w:val="Tag"/>
                <w:lang w:val="en-GB"/>
              </w:rPr>
              <w:t>&lt;/434&gt;&lt;447&gt;</w:t>
            </w:r>
            <w:r>
              <w:rPr>
                <w:lang w:val="en-GB"/>
              </w:rPr>
              <w:t xml:space="preserve">  Position of the European Parliament of 15 March </w:t>
            </w:r>
            <w:r>
              <w:rPr>
                <w:lang w:val="en-GB"/>
              </w:rPr>
              <w:lastRenderedPageBreak/>
              <w:t>2017 (not yet published in the Official Journal) and decision of the Council of 25 April 2017.</w:t>
            </w:r>
            <w:r>
              <w:rPr>
                <w:rStyle w:val="Tag"/>
                <w:lang w:val="en-GB"/>
              </w:rPr>
              <w:t>&lt;/447&gt;</w:t>
            </w:r>
          </w:p>
        </w:tc>
        <w:tc>
          <w:tcPr>
            <w:tcW w:w="0" w:type="auto"/>
            <w:shd w:val="clear" w:color="auto" w:fill="auto"/>
          </w:tcPr>
          <w:p w:rsidR="00B95EA6" w:rsidRDefault="00B95EA6">
            <w:pPr>
              <w:rPr>
                <w:lang w:val="cs-CZ"/>
              </w:rPr>
            </w:pPr>
            <w:r>
              <w:rPr>
                <w:lang w:val="cs-CZ"/>
              </w:rPr>
              <w:lastRenderedPageBreak/>
              <w:t xml:space="preserve">(2) a Stanovisko Evropského parlamentu ze dne 15. března 2017 (dosud </w:t>
            </w:r>
            <w:r>
              <w:rPr>
                <w:lang w:val="cs-CZ"/>
              </w:rPr>
              <w:lastRenderedPageBreak/>
              <w:t>nezveřejněný v Úředním věstníku) a rozhodnutí Rady ze dne 25. dubna 2017.</w:t>
            </w:r>
          </w:p>
        </w:tc>
      </w:tr>
      <w:tr w:rsidR="00B95EA6" w:rsidTr="00A26A8C">
        <w:tc>
          <w:tcPr>
            <w:tcW w:w="0" w:type="auto"/>
            <w:shd w:val="clear" w:color="auto" w:fill="auto"/>
          </w:tcPr>
          <w:p w:rsidR="00B95EA6" w:rsidRDefault="00B95EA6">
            <w:pPr>
              <w:rPr>
                <w:lang w:val="en-GB"/>
              </w:rPr>
            </w:pPr>
            <w:r>
              <w:rPr>
                <w:rStyle w:val="SegmentID"/>
                <w:lang w:val="en-GB"/>
              </w:rPr>
              <w:lastRenderedPageBreak/>
              <w:t>159</w:t>
            </w:r>
            <w:r>
              <w:rPr>
                <w:rStyle w:val="TransUnitID"/>
                <w:lang w:val="en-GB"/>
              </w:rPr>
              <w:t>6124c794-c2bd-4771-96de-808cdf44d998</w:t>
            </w:r>
          </w:p>
        </w:tc>
        <w:tc>
          <w:tcPr>
            <w:tcW w:w="0" w:type="auto"/>
            <w:shd w:val="clear" w:color="auto" w:fill="auto"/>
          </w:tcPr>
          <w:p w:rsidR="00B95EA6" w:rsidRDefault="00B95EA6">
            <w:pPr>
              <w:rPr>
                <w:lang w:val="en-GB"/>
              </w:rPr>
            </w:pPr>
            <w:r>
              <w:rPr>
                <w:lang w:val="en-GB"/>
              </w:rPr>
              <w:t>http://eur-lex.europa.eu/legal-content/EN/TXT/?qid=1495697061931&amp;uri=CELEX:32017D0899</w:t>
            </w:r>
          </w:p>
        </w:tc>
        <w:tc>
          <w:tcPr>
            <w:tcW w:w="0" w:type="auto"/>
            <w:shd w:val="clear" w:color="auto" w:fill="auto"/>
          </w:tcPr>
          <w:p w:rsidR="00B95EA6" w:rsidRDefault="00B95EA6">
            <w:pPr>
              <w:rPr>
                <w:lang w:val="cs-CZ"/>
              </w:rPr>
            </w:pPr>
            <w:r>
              <w:rPr>
                <w:lang w:val="cs-CZ"/>
              </w:rPr>
              <w:t>http://eur-lex.europa.eu/legal-content/EN/TXT/?qid=1495697061931&amp;uri=CELEX:32017D0899.</w:t>
            </w:r>
          </w:p>
        </w:tc>
      </w:tr>
      <w:tr w:rsidR="00B95EA6" w:rsidTr="00A26A8C">
        <w:tc>
          <w:tcPr>
            <w:tcW w:w="0" w:type="auto"/>
            <w:shd w:val="clear" w:color="auto" w:fill="auto"/>
          </w:tcPr>
          <w:p w:rsidR="00B95EA6" w:rsidRDefault="00B95EA6">
            <w:pPr>
              <w:rPr>
                <w:lang w:val="en-GB"/>
              </w:rPr>
            </w:pPr>
            <w:r>
              <w:rPr>
                <w:rStyle w:val="SegmentID"/>
                <w:lang w:val="en-GB"/>
              </w:rPr>
              <w:t>160</w:t>
            </w:r>
            <w:r>
              <w:rPr>
                <w:rStyle w:val="TransUnitID"/>
                <w:lang w:val="en-GB"/>
              </w:rPr>
              <w:t>3f994524-cf45-4f39-bae3-d0866321b809</w:t>
            </w:r>
          </w:p>
        </w:tc>
        <w:tc>
          <w:tcPr>
            <w:tcW w:w="0" w:type="auto"/>
            <w:shd w:val="clear" w:color="auto" w:fill="auto"/>
          </w:tcPr>
          <w:p w:rsidR="00B95EA6" w:rsidRDefault="00B95EA6">
            <w:pPr>
              <w:rPr>
                <w:lang w:val="en-GB"/>
              </w:rPr>
            </w:pPr>
            <w:r>
              <w:rPr>
                <w:rStyle w:val="Tag"/>
                <w:lang w:val="en-GB"/>
              </w:rPr>
              <w:t>&lt;448&gt;</w:t>
            </w:r>
            <w:r>
              <w:rPr>
                <w:lang w:val="en-GB"/>
              </w:rPr>
              <w:t>(3)</w:t>
            </w:r>
            <w:r>
              <w:rPr>
                <w:rStyle w:val="Tag"/>
                <w:lang w:val="en-GB"/>
              </w:rPr>
              <w:t>&lt;/448&gt;&lt;461&gt;</w:t>
            </w:r>
            <w:r>
              <w:rPr>
                <w:lang w:val="en-GB"/>
              </w:rPr>
              <w:t>  Decision No 243/2012/EU of the European Parliament and of the Council of 14 March 2012 establishing a multiannual radio spectrum policy programme (</w:t>
            </w:r>
            <w:r>
              <w:rPr>
                <w:rStyle w:val="Tag"/>
                <w:lang w:val="en-GB"/>
              </w:rPr>
              <w:t>&lt;/461&gt;&lt;462&gt;</w:t>
            </w:r>
            <w:r>
              <w:rPr>
                <w:lang w:val="en-GB"/>
              </w:rPr>
              <w:t>OJ L 81, 21.3.2012, p. 7</w:t>
            </w:r>
            <w:r>
              <w:rPr>
                <w:rStyle w:val="Tag"/>
                <w:lang w:val="en-GB"/>
              </w:rPr>
              <w:t>&lt;/462&gt;&lt;468&gt;</w:t>
            </w:r>
            <w:r>
              <w:rPr>
                <w:lang w:val="en-GB"/>
              </w:rPr>
              <w:t>).</w:t>
            </w:r>
            <w:r>
              <w:rPr>
                <w:rStyle w:val="Tag"/>
                <w:lang w:val="en-GB"/>
              </w:rPr>
              <w:t>&lt;/468&gt;</w:t>
            </w:r>
          </w:p>
        </w:tc>
        <w:tc>
          <w:tcPr>
            <w:tcW w:w="0" w:type="auto"/>
            <w:shd w:val="clear" w:color="auto" w:fill="auto"/>
          </w:tcPr>
          <w:p w:rsidR="00B95EA6" w:rsidRDefault="00B95EA6">
            <w:pPr>
              <w:rPr>
                <w:lang w:val="cs-CZ"/>
              </w:rPr>
            </w:pPr>
            <w:r>
              <w:rPr>
                <w:lang w:val="cs-CZ"/>
              </w:rPr>
              <w:t>odst. 4 rozhodnutí č. 243/2012/EU Evropského parlamentu a Rady ze dne 14. března 2012 o vytvoření víceletého programu politiky rádiového spektra (</w:t>
            </w:r>
            <w:proofErr w:type="spellStart"/>
            <w:r>
              <w:rPr>
                <w:lang w:val="cs-CZ"/>
              </w:rPr>
              <w:t>Úř</w:t>
            </w:r>
            <w:proofErr w:type="spellEnd"/>
            <w:r>
              <w:rPr>
                <w:lang w:val="cs-CZ"/>
              </w:rPr>
              <w:t xml:space="preserve">. </w:t>
            </w:r>
            <w:proofErr w:type="spellStart"/>
            <w:proofErr w:type="gramStart"/>
            <w:r>
              <w:rPr>
                <w:lang w:val="cs-CZ"/>
              </w:rPr>
              <w:t>věst</w:t>
            </w:r>
            <w:proofErr w:type="spellEnd"/>
            <w:proofErr w:type="gramEnd"/>
            <w:r>
              <w:rPr>
                <w:lang w:val="cs-CZ"/>
              </w:rPr>
              <w:t xml:space="preserve">. L 81, </w:t>
            </w:r>
            <w:proofErr w:type="gramStart"/>
            <w:r>
              <w:rPr>
                <w:lang w:val="cs-CZ"/>
              </w:rPr>
              <w:t>21.3.2012</w:t>
            </w:r>
            <w:proofErr w:type="gramEnd"/>
            <w:r>
              <w:rPr>
                <w:lang w:val="cs-CZ"/>
              </w:rPr>
              <w:t>, s. 7).</w:t>
            </w:r>
          </w:p>
        </w:tc>
      </w:tr>
      <w:tr w:rsidR="00B95EA6" w:rsidTr="00A26A8C">
        <w:tc>
          <w:tcPr>
            <w:tcW w:w="0" w:type="auto"/>
            <w:shd w:val="clear" w:color="auto" w:fill="auto"/>
          </w:tcPr>
          <w:p w:rsidR="00B95EA6" w:rsidRDefault="00B95EA6">
            <w:pPr>
              <w:rPr>
                <w:lang w:val="en-GB"/>
              </w:rPr>
            </w:pPr>
            <w:r>
              <w:rPr>
                <w:rStyle w:val="SegmentID"/>
                <w:lang w:val="en-GB"/>
              </w:rPr>
              <w:t>161</w:t>
            </w:r>
            <w:r>
              <w:rPr>
                <w:rStyle w:val="TransUnitID"/>
                <w:lang w:val="en-GB"/>
              </w:rPr>
              <w:t>0c82ba8c-3c40-47ae-a1de-2f3d60271e3a</w:t>
            </w:r>
          </w:p>
        </w:tc>
        <w:tc>
          <w:tcPr>
            <w:tcW w:w="0" w:type="auto"/>
            <w:shd w:val="clear" w:color="auto" w:fill="auto"/>
          </w:tcPr>
          <w:p w:rsidR="00B95EA6" w:rsidRDefault="00B95EA6">
            <w:pPr>
              <w:rPr>
                <w:lang w:val="en-GB"/>
              </w:rPr>
            </w:pPr>
            <w:r>
              <w:rPr>
                <w:lang w:val="en-GB"/>
              </w:rPr>
              <w:t>http://eur-lex.europa.eu/legal-content/EN/TXT/?qid=1495697061931&amp;uri=CELEX:32017D0899</w:t>
            </w:r>
          </w:p>
        </w:tc>
        <w:tc>
          <w:tcPr>
            <w:tcW w:w="0" w:type="auto"/>
            <w:shd w:val="clear" w:color="auto" w:fill="auto"/>
          </w:tcPr>
          <w:p w:rsidR="00B95EA6" w:rsidRDefault="00B95EA6">
            <w:pPr>
              <w:rPr>
                <w:lang w:val="cs-CZ"/>
              </w:rPr>
            </w:pPr>
            <w:r>
              <w:rPr>
                <w:lang w:val="cs-CZ"/>
              </w:rPr>
              <w:t>http://eur-lex.europa.eu/legal-content/EN/TXT/?qid=1495697061931&amp;uri=CELEX:32017D0899.</w:t>
            </w:r>
          </w:p>
        </w:tc>
      </w:tr>
      <w:tr w:rsidR="00B95EA6" w:rsidTr="00A26A8C">
        <w:tc>
          <w:tcPr>
            <w:tcW w:w="0" w:type="auto"/>
            <w:shd w:val="clear" w:color="auto" w:fill="auto"/>
          </w:tcPr>
          <w:p w:rsidR="00B95EA6" w:rsidRDefault="00B95EA6">
            <w:pPr>
              <w:rPr>
                <w:lang w:val="en-GB"/>
              </w:rPr>
            </w:pPr>
            <w:r>
              <w:rPr>
                <w:rStyle w:val="SegmentID"/>
                <w:lang w:val="en-GB"/>
              </w:rPr>
              <w:t>162</w:t>
            </w:r>
            <w:r>
              <w:rPr>
                <w:rStyle w:val="TransUnitID"/>
                <w:lang w:val="en-GB"/>
              </w:rPr>
              <w:t>36acf067-02ba-442e-8500-5843343d7e91</w:t>
            </w:r>
          </w:p>
        </w:tc>
        <w:tc>
          <w:tcPr>
            <w:tcW w:w="0" w:type="auto"/>
            <w:shd w:val="clear" w:color="auto" w:fill="auto"/>
          </w:tcPr>
          <w:p w:rsidR="00B95EA6" w:rsidRDefault="00B95EA6">
            <w:pPr>
              <w:rPr>
                <w:lang w:val="en-GB"/>
              </w:rPr>
            </w:pPr>
            <w:r>
              <w:rPr>
                <w:lang w:val="en-GB"/>
              </w:rPr>
              <w:t>http://eur-lex.europa.eu/legal-content/EN/AUTO/?uri=OJ:L:2012:081:TOC</w:t>
            </w:r>
          </w:p>
        </w:tc>
        <w:tc>
          <w:tcPr>
            <w:tcW w:w="0" w:type="auto"/>
            <w:shd w:val="clear" w:color="auto" w:fill="auto"/>
          </w:tcPr>
          <w:p w:rsidR="00B95EA6" w:rsidRDefault="00B95EA6">
            <w:pPr>
              <w:rPr>
                <w:lang w:val="cs-CZ"/>
              </w:rPr>
            </w:pPr>
            <w:r>
              <w:rPr>
                <w:lang w:val="cs-CZ"/>
              </w:rPr>
              <w:t>http://eur-lex.europa.eu/legal-content/EN/AUTO/?uri=OJ:L:2012:081:TOC.</w:t>
            </w:r>
          </w:p>
        </w:tc>
      </w:tr>
      <w:tr w:rsidR="00B95EA6" w:rsidTr="00A26A8C">
        <w:tc>
          <w:tcPr>
            <w:tcW w:w="0" w:type="auto"/>
            <w:shd w:val="clear" w:color="auto" w:fill="auto"/>
          </w:tcPr>
          <w:p w:rsidR="00B95EA6" w:rsidRDefault="00B95EA6">
            <w:pPr>
              <w:rPr>
                <w:lang w:val="en-GB"/>
              </w:rPr>
            </w:pPr>
            <w:r>
              <w:rPr>
                <w:rStyle w:val="SegmentID"/>
                <w:lang w:val="en-GB"/>
              </w:rPr>
              <w:t>163</w:t>
            </w:r>
            <w:r>
              <w:rPr>
                <w:rStyle w:val="TransUnitID"/>
                <w:lang w:val="en-GB"/>
              </w:rPr>
              <w:t>bc0a14a2-1dee-407f-bef5-d85f278463dd</w:t>
            </w:r>
          </w:p>
        </w:tc>
        <w:tc>
          <w:tcPr>
            <w:tcW w:w="0" w:type="auto"/>
            <w:shd w:val="clear" w:color="auto" w:fill="auto"/>
          </w:tcPr>
          <w:p w:rsidR="00B95EA6" w:rsidRDefault="00B95EA6">
            <w:pPr>
              <w:rPr>
                <w:lang w:val="en-GB"/>
              </w:rPr>
            </w:pPr>
            <w:r>
              <w:rPr>
                <w:rStyle w:val="Tag"/>
                <w:lang w:val="en-GB"/>
              </w:rPr>
              <w:t>&lt;469&gt;</w:t>
            </w:r>
            <w:r>
              <w:rPr>
                <w:lang w:val="en-GB"/>
              </w:rPr>
              <w:t>(4)</w:t>
            </w:r>
            <w:r>
              <w:rPr>
                <w:rStyle w:val="Tag"/>
                <w:lang w:val="en-GB"/>
              </w:rPr>
              <w:t>&lt;/469&gt;&lt;482&gt;</w:t>
            </w:r>
            <w:r>
              <w:rPr>
                <w:lang w:val="en-GB"/>
              </w:rPr>
              <w:t>  Decision No 676/2002/EC of the European Parliament and of the Council of 7 March 2002 on a regulatory framework for radio spectrum policy in the European Community (Radio Spectrum Decision) (</w:t>
            </w:r>
            <w:r>
              <w:rPr>
                <w:rStyle w:val="Tag"/>
                <w:lang w:val="en-GB"/>
              </w:rPr>
              <w:t>&lt;/482&gt;&lt;483&gt;</w:t>
            </w:r>
            <w:r>
              <w:rPr>
                <w:lang w:val="en-GB"/>
              </w:rPr>
              <w:t>OJ L 108, 24.4.2002, p. 1</w:t>
            </w:r>
            <w:r>
              <w:rPr>
                <w:rStyle w:val="Tag"/>
                <w:lang w:val="en-GB"/>
              </w:rPr>
              <w:t>&lt;/483&gt;&lt;489&gt;</w:t>
            </w:r>
            <w:r>
              <w:rPr>
                <w:lang w:val="en-GB"/>
              </w:rPr>
              <w:t>).</w:t>
            </w:r>
            <w:r>
              <w:rPr>
                <w:rStyle w:val="Tag"/>
                <w:lang w:val="en-GB"/>
              </w:rPr>
              <w:t>&lt;/489&gt;</w:t>
            </w:r>
          </w:p>
        </w:tc>
        <w:tc>
          <w:tcPr>
            <w:tcW w:w="0" w:type="auto"/>
            <w:shd w:val="clear" w:color="auto" w:fill="auto"/>
          </w:tcPr>
          <w:p w:rsidR="00B95EA6" w:rsidRDefault="00B95EA6">
            <w:pPr>
              <w:rPr>
                <w:lang w:val="cs-CZ"/>
              </w:rPr>
            </w:pPr>
            <w:r>
              <w:rPr>
                <w:lang w:val="cs-CZ"/>
              </w:rPr>
              <w:t>Čl. 2 odst. 4 rozhodnutí č. 676/2002/ES Evropského parlamentu a Rady ze dne 7. března 2002 o předpisovém rámci pro politiku rádiového spektra v Evropském společenství (rozhodnutí o rádiovém spektru) (</w:t>
            </w:r>
            <w:proofErr w:type="spellStart"/>
            <w:r>
              <w:rPr>
                <w:lang w:val="cs-CZ"/>
              </w:rPr>
              <w:t>Úř</w:t>
            </w:r>
            <w:proofErr w:type="spellEnd"/>
            <w:r>
              <w:rPr>
                <w:lang w:val="cs-CZ"/>
              </w:rPr>
              <w:t xml:space="preserve">. </w:t>
            </w:r>
            <w:proofErr w:type="spellStart"/>
            <w:proofErr w:type="gramStart"/>
            <w:r>
              <w:rPr>
                <w:lang w:val="cs-CZ"/>
              </w:rPr>
              <w:t>věst</w:t>
            </w:r>
            <w:proofErr w:type="spellEnd"/>
            <w:proofErr w:type="gramEnd"/>
            <w:r>
              <w:rPr>
                <w:lang w:val="cs-CZ"/>
              </w:rPr>
              <w:t xml:space="preserve">. L 108, </w:t>
            </w:r>
            <w:proofErr w:type="gramStart"/>
            <w:r>
              <w:rPr>
                <w:lang w:val="cs-CZ"/>
              </w:rPr>
              <w:t>24.4.2002</w:t>
            </w:r>
            <w:proofErr w:type="gramEnd"/>
            <w:r>
              <w:rPr>
                <w:lang w:val="cs-CZ"/>
              </w:rPr>
              <w:t>, s. 1).</w:t>
            </w:r>
          </w:p>
        </w:tc>
      </w:tr>
      <w:tr w:rsidR="00B95EA6" w:rsidTr="00A26A8C">
        <w:tc>
          <w:tcPr>
            <w:tcW w:w="0" w:type="auto"/>
            <w:shd w:val="clear" w:color="auto" w:fill="auto"/>
          </w:tcPr>
          <w:p w:rsidR="00B95EA6" w:rsidRDefault="00B95EA6">
            <w:pPr>
              <w:rPr>
                <w:lang w:val="en-GB"/>
              </w:rPr>
            </w:pPr>
            <w:r>
              <w:rPr>
                <w:rStyle w:val="SegmentID"/>
                <w:lang w:val="en-GB"/>
              </w:rPr>
              <w:t>164</w:t>
            </w:r>
            <w:r>
              <w:rPr>
                <w:rStyle w:val="TransUnitID"/>
                <w:lang w:val="en-GB"/>
              </w:rPr>
              <w:t>a8eb73f6-4ace-4396-b1d7-5d50a703dbc8</w:t>
            </w:r>
          </w:p>
        </w:tc>
        <w:tc>
          <w:tcPr>
            <w:tcW w:w="0" w:type="auto"/>
            <w:shd w:val="clear" w:color="auto" w:fill="auto"/>
          </w:tcPr>
          <w:p w:rsidR="00B95EA6" w:rsidRDefault="00B95EA6">
            <w:pPr>
              <w:rPr>
                <w:lang w:val="en-GB"/>
              </w:rPr>
            </w:pPr>
            <w:r>
              <w:rPr>
                <w:lang w:val="en-GB"/>
              </w:rPr>
              <w:t>http://eur-lex.europa.eu/legal-content/EN/TXT/?qid=1495697061931&amp;uri=CELEX:32017D0899</w:t>
            </w:r>
          </w:p>
        </w:tc>
        <w:tc>
          <w:tcPr>
            <w:tcW w:w="0" w:type="auto"/>
            <w:shd w:val="clear" w:color="auto" w:fill="auto"/>
          </w:tcPr>
          <w:p w:rsidR="00B95EA6" w:rsidRDefault="00B95EA6">
            <w:pPr>
              <w:rPr>
                <w:lang w:val="cs-CZ"/>
              </w:rPr>
            </w:pPr>
            <w:r>
              <w:rPr>
                <w:lang w:val="cs-CZ"/>
              </w:rPr>
              <w:t>http://eur-lex.europa.eu/legal-content/EN/TXT/?qid=1495697061931&amp;uri=CELEX:32017D0899.</w:t>
            </w:r>
          </w:p>
        </w:tc>
      </w:tr>
      <w:tr w:rsidR="00B95EA6" w:rsidTr="00A26A8C">
        <w:tc>
          <w:tcPr>
            <w:tcW w:w="0" w:type="auto"/>
            <w:shd w:val="clear" w:color="auto" w:fill="auto"/>
          </w:tcPr>
          <w:p w:rsidR="00B95EA6" w:rsidRDefault="00B95EA6">
            <w:pPr>
              <w:rPr>
                <w:lang w:val="en-GB"/>
              </w:rPr>
            </w:pPr>
            <w:r>
              <w:rPr>
                <w:rStyle w:val="SegmentID"/>
                <w:lang w:val="en-GB"/>
              </w:rPr>
              <w:t>165</w:t>
            </w:r>
            <w:r>
              <w:rPr>
                <w:rStyle w:val="TransUnitID"/>
                <w:lang w:val="en-GB"/>
              </w:rPr>
              <w:t>57515d55-2e50-4400-a721-0a192a542e6e</w:t>
            </w:r>
          </w:p>
        </w:tc>
        <w:tc>
          <w:tcPr>
            <w:tcW w:w="0" w:type="auto"/>
            <w:shd w:val="clear" w:color="auto" w:fill="auto"/>
          </w:tcPr>
          <w:p w:rsidR="00B95EA6" w:rsidRDefault="00B95EA6">
            <w:pPr>
              <w:rPr>
                <w:lang w:val="en-GB"/>
              </w:rPr>
            </w:pPr>
            <w:r>
              <w:rPr>
                <w:lang w:val="en-GB"/>
              </w:rPr>
              <w:t>http://eur-lex.europa.eu/legal-content/EN/AUTO/?uri=OJ:L:2002:108:TOC</w:t>
            </w:r>
          </w:p>
        </w:tc>
        <w:tc>
          <w:tcPr>
            <w:tcW w:w="0" w:type="auto"/>
            <w:shd w:val="clear" w:color="auto" w:fill="auto"/>
          </w:tcPr>
          <w:p w:rsidR="00B95EA6" w:rsidRDefault="00B95EA6">
            <w:pPr>
              <w:rPr>
                <w:lang w:val="cs-CZ"/>
              </w:rPr>
            </w:pPr>
            <w:r>
              <w:rPr>
                <w:lang w:val="cs-CZ"/>
              </w:rPr>
              <w:t>http://eur-lex.europa.eu/legal-content/EN/AUTO/?uri=OJ:L:2002:108:TOC.</w:t>
            </w:r>
          </w:p>
        </w:tc>
      </w:tr>
      <w:tr w:rsidR="00B95EA6" w:rsidTr="00A26A8C">
        <w:tc>
          <w:tcPr>
            <w:tcW w:w="0" w:type="auto"/>
            <w:shd w:val="clear" w:color="auto" w:fill="auto"/>
          </w:tcPr>
          <w:p w:rsidR="00B95EA6" w:rsidRDefault="00B95EA6">
            <w:pPr>
              <w:rPr>
                <w:lang w:val="en-GB"/>
              </w:rPr>
            </w:pPr>
            <w:r>
              <w:rPr>
                <w:rStyle w:val="SegmentID"/>
                <w:lang w:val="en-GB"/>
              </w:rPr>
              <w:t>166</w:t>
            </w:r>
            <w:r>
              <w:rPr>
                <w:rStyle w:val="TransUnitID"/>
                <w:lang w:val="en-GB"/>
              </w:rPr>
              <w:t>7b513e4a-d4ba-40a3-bd8f-365484668612</w:t>
            </w:r>
          </w:p>
        </w:tc>
        <w:tc>
          <w:tcPr>
            <w:tcW w:w="0" w:type="auto"/>
            <w:shd w:val="clear" w:color="auto" w:fill="auto"/>
          </w:tcPr>
          <w:p w:rsidR="00B95EA6" w:rsidRDefault="00B95EA6">
            <w:pPr>
              <w:rPr>
                <w:lang w:val="en-GB"/>
              </w:rPr>
            </w:pPr>
            <w:r>
              <w:rPr>
                <w:rStyle w:val="Tag"/>
                <w:lang w:val="en-GB"/>
              </w:rPr>
              <w:t>&lt;490&gt;</w:t>
            </w:r>
            <w:r>
              <w:rPr>
                <w:lang w:val="en-GB"/>
              </w:rPr>
              <w:t>(5)</w:t>
            </w:r>
            <w:r>
              <w:rPr>
                <w:rStyle w:val="Tag"/>
                <w:lang w:val="en-GB"/>
              </w:rPr>
              <w:t>&lt;/490&gt;&lt;503&gt;</w:t>
            </w:r>
            <w:r>
              <w:rPr>
                <w:lang w:val="en-GB"/>
              </w:rPr>
              <w:t>  Directive 2002/21/EC of the European Parliament and of the Council of 7 March 2002 on a common regulatory framework for electronic communications networks and services (Framework Directive) (</w:t>
            </w:r>
            <w:r>
              <w:rPr>
                <w:rStyle w:val="Tag"/>
                <w:lang w:val="en-GB"/>
              </w:rPr>
              <w:t>&lt;/503&gt;&lt;504&gt;</w:t>
            </w:r>
            <w:r>
              <w:rPr>
                <w:lang w:val="en-GB"/>
              </w:rPr>
              <w:t>OJ L 108, 24.4.2002, p. 33</w:t>
            </w:r>
            <w:r>
              <w:rPr>
                <w:rStyle w:val="Tag"/>
                <w:lang w:val="en-GB"/>
              </w:rPr>
              <w:t>&lt;/504&gt;&lt;510&gt;</w:t>
            </w:r>
            <w:r>
              <w:rPr>
                <w:lang w:val="en-GB"/>
              </w:rPr>
              <w:t>).</w:t>
            </w:r>
            <w:r>
              <w:rPr>
                <w:rStyle w:val="Tag"/>
                <w:lang w:val="en-GB"/>
              </w:rPr>
              <w:t>&lt;/510&gt;</w:t>
            </w:r>
          </w:p>
        </w:tc>
        <w:tc>
          <w:tcPr>
            <w:tcW w:w="0" w:type="auto"/>
            <w:shd w:val="clear" w:color="auto" w:fill="auto"/>
          </w:tcPr>
          <w:p w:rsidR="00B95EA6" w:rsidRDefault="00B95EA6">
            <w:pPr>
              <w:rPr>
                <w:lang w:val="cs-CZ"/>
              </w:rPr>
            </w:pPr>
            <w:r>
              <w:rPr>
                <w:lang w:val="cs-CZ"/>
              </w:rPr>
              <w:t>odst. 5 směrnice Evropského parlamentu a Rady 2002/21/ES Evropského parlamentu a Rady ze dne 7. března 2002 o společném předpisovém rámci pro sítě a služby elektronických komunikací (rámcová směrnice) (</w:t>
            </w:r>
            <w:proofErr w:type="spellStart"/>
            <w:r>
              <w:rPr>
                <w:lang w:val="cs-CZ"/>
              </w:rPr>
              <w:t>Úř</w:t>
            </w:r>
            <w:proofErr w:type="spellEnd"/>
            <w:r>
              <w:rPr>
                <w:lang w:val="cs-CZ"/>
              </w:rPr>
              <w:t xml:space="preserve">. </w:t>
            </w:r>
            <w:proofErr w:type="spellStart"/>
            <w:proofErr w:type="gramStart"/>
            <w:r>
              <w:rPr>
                <w:lang w:val="cs-CZ"/>
              </w:rPr>
              <w:t>věst</w:t>
            </w:r>
            <w:proofErr w:type="spellEnd"/>
            <w:proofErr w:type="gramEnd"/>
            <w:r>
              <w:rPr>
                <w:lang w:val="cs-CZ"/>
              </w:rPr>
              <w:t xml:space="preserve">. L 108, </w:t>
            </w:r>
            <w:proofErr w:type="gramStart"/>
            <w:r>
              <w:rPr>
                <w:lang w:val="cs-CZ"/>
              </w:rPr>
              <w:t>24.4.2002</w:t>
            </w:r>
            <w:proofErr w:type="gramEnd"/>
            <w:r>
              <w:rPr>
                <w:lang w:val="cs-CZ"/>
              </w:rPr>
              <w:t>, s. 33).</w:t>
            </w:r>
          </w:p>
        </w:tc>
      </w:tr>
      <w:tr w:rsidR="00B95EA6" w:rsidTr="00A26A8C">
        <w:tc>
          <w:tcPr>
            <w:tcW w:w="0" w:type="auto"/>
            <w:shd w:val="clear" w:color="auto" w:fill="auto"/>
          </w:tcPr>
          <w:p w:rsidR="00B95EA6" w:rsidRDefault="00B95EA6">
            <w:pPr>
              <w:rPr>
                <w:lang w:val="en-GB"/>
              </w:rPr>
            </w:pPr>
            <w:r>
              <w:rPr>
                <w:rStyle w:val="SegmentID"/>
                <w:lang w:val="en-GB"/>
              </w:rPr>
              <w:t>167</w:t>
            </w:r>
            <w:r>
              <w:rPr>
                <w:rStyle w:val="TransUnitID"/>
                <w:lang w:val="en-GB"/>
              </w:rPr>
              <w:t>af1e16e5-51c1-49ab-8588-a1706010a912</w:t>
            </w:r>
          </w:p>
        </w:tc>
        <w:tc>
          <w:tcPr>
            <w:tcW w:w="0" w:type="auto"/>
            <w:shd w:val="clear" w:color="auto" w:fill="auto"/>
          </w:tcPr>
          <w:p w:rsidR="00B95EA6" w:rsidRDefault="00B95EA6">
            <w:pPr>
              <w:rPr>
                <w:lang w:val="en-GB"/>
              </w:rPr>
            </w:pPr>
            <w:r>
              <w:rPr>
                <w:lang w:val="en-GB"/>
              </w:rPr>
              <w:t>http://eur-lex.europa.eu/legal-content/EN/TXT/?qid=1495697061931&amp;uri=CELEX:32017D0899</w:t>
            </w:r>
          </w:p>
        </w:tc>
        <w:tc>
          <w:tcPr>
            <w:tcW w:w="0" w:type="auto"/>
            <w:shd w:val="clear" w:color="auto" w:fill="auto"/>
          </w:tcPr>
          <w:p w:rsidR="00B95EA6" w:rsidRDefault="00B95EA6">
            <w:pPr>
              <w:rPr>
                <w:lang w:val="cs-CZ"/>
              </w:rPr>
            </w:pPr>
            <w:r>
              <w:rPr>
                <w:lang w:val="cs-CZ"/>
              </w:rPr>
              <w:t>http://eur-lex.europa.eu/legal-content/EN/TXT/?qid=1495697061931&amp;uri=CELEX:32017D0899.</w:t>
            </w:r>
          </w:p>
        </w:tc>
      </w:tr>
      <w:tr w:rsidR="00B95EA6" w:rsidTr="00A26A8C">
        <w:tc>
          <w:tcPr>
            <w:tcW w:w="0" w:type="auto"/>
            <w:shd w:val="clear" w:color="auto" w:fill="auto"/>
          </w:tcPr>
          <w:p w:rsidR="00B95EA6" w:rsidRDefault="00B95EA6">
            <w:pPr>
              <w:rPr>
                <w:lang w:val="en-GB"/>
              </w:rPr>
            </w:pPr>
            <w:r>
              <w:rPr>
                <w:rStyle w:val="SegmentID"/>
                <w:lang w:val="en-GB"/>
              </w:rPr>
              <w:t>168</w:t>
            </w:r>
            <w:r>
              <w:rPr>
                <w:rStyle w:val="TransUnitID"/>
                <w:lang w:val="en-GB"/>
              </w:rPr>
              <w:t>4682e181-157e-4ce5-9a5e-8a8c552d18c1</w:t>
            </w:r>
          </w:p>
        </w:tc>
        <w:tc>
          <w:tcPr>
            <w:tcW w:w="0" w:type="auto"/>
            <w:shd w:val="clear" w:color="auto" w:fill="auto"/>
          </w:tcPr>
          <w:p w:rsidR="00B95EA6" w:rsidRDefault="00B95EA6">
            <w:pPr>
              <w:rPr>
                <w:lang w:val="en-GB"/>
              </w:rPr>
            </w:pPr>
            <w:r>
              <w:rPr>
                <w:lang w:val="en-GB"/>
              </w:rPr>
              <w:t>http://eur-lex.europa.eu/legal-content/EN/AUTO/?uri=OJ:L:2002:108:TOC</w:t>
            </w:r>
          </w:p>
        </w:tc>
        <w:tc>
          <w:tcPr>
            <w:tcW w:w="0" w:type="auto"/>
            <w:shd w:val="clear" w:color="auto" w:fill="auto"/>
          </w:tcPr>
          <w:p w:rsidR="00B95EA6" w:rsidRDefault="00B95EA6">
            <w:pPr>
              <w:rPr>
                <w:lang w:val="cs-CZ"/>
              </w:rPr>
            </w:pPr>
            <w:r>
              <w:rPr>
                <w:lang w:val="cs-CZ"/>
              </w:rPr>
              <w:t>http://eur-lex.europa.eu/legal-content/EN/AUTO/?uri=OJ:L:2002:108:TOC.</w:t>
            </w:r>
          </w:p>
        </w:tc>
      </w:tr>
      <w:tr w:rsidR="00B95EA6" w:rsidTr="00A26A8C">
        <w:tc>
          <w:tcPr>
            <w:tcW w:w="0" w:type="auto"/>
            <w:shd w:val="clear" w:color="auto" w:fill="auto"/>
          </w:tcPr>
          <w:p w:rsidR="00B95EA6" w:rsidRDefault="00B95EA6">
            <w:pPr>
              <w:rPr>
                <w:lang w:val="en-GB"/>
              </w:rPr>
            </w:pPr>
            <w:r>
              <w:rPr>
                <w:rStyle w:val="SegmentID"/>
                <w:lang w:val="en-GB"/>
              </w:rPr>
              <w:t>169</w:t>
            </w:r>
            <w:r>
              <w:rPr>
                <w:rStyle w:val="TransUnitID"/>
                <w:lang w:val="en-GB"/>
              </w:rPr>
              <w:t>14189a30-46c5-4762-8a51-a3ef8fa7c5ae</w:t>
            </w:r>
          </w:p>
        </w:tc>
        <w:tc>
          <w:tcPr>
            <w:tcW w:w="0" w:type="auto"/>
            <w:shd w:val="clear" w:color="auto" w:fill="auto"/>
          </w:tcPr>
          <w:p w:rsidR="00B95EA6" w:rsidRDefault="00B95EA6">
            <w:pPr>
              <w:rPr>
                <w:lang w:val="en-GB"/>
              </w:rPr>
            </w:pPr>
            <w:r>
              <w:rPr>
                <w:rStyle w:val="Tag"/>
                <w:lang w:val="en-GB"/>
              </w:rPr>
              <w:t>&lt;511&gt;</w:t>
            </w:r>
            <w:r>
              <w:rPr>
                <w:lang w:val="en-GB"/>
              </w:rPr>
              <w:t>(6)</w:t>
            </w:r>
            <w:r>
              <w:rPr>
                <w:rStyle w:val="Tag"/>
                <w:lang w:val="en-GB"/>
              </w:rPr>
              <w:t>&lt;/511&gt;&lt;524&gt;</w:t>
            </w:r>
            <w:r>
              <w:rPr>
                <w:lang w:val="en-GB"/>
              </w:rPr>
              <w:t>  Directive 2002/20/EC of the European Parliament and of the Council of 7 March 2002 on the authorisation of electronic communications networks and services (Authorisation Directive) (</w:t>
            </w:r>
            <w:r>
              <w:rPr>
                <w:rStyle w:val="Tag"/>
                <w:lang w:val="en-GB"/>
              </w:rPr>
              <w:t>&lt;/524&gt;&lt;525&gt;</w:t>
            </w:r>
            <w:r>
              <w:rPr>
                <w:lang w:val="en-GB"/>
              </w:rPr>
              <w:t>OJ L 108, 24.4.2002, p. 21</w:t>
            </w:r>
            <w:r>
              <w:rPr>
                <w:rStyle w:val="Tag"/>
                <w:lang w:val="en-GB"/>
              </w:rPr>
              <w:t>&lt;/525&gt;&lt;531&gt;</w:t>
            </w:r>
            <w:r>
              <w:rPr>
                <w:lang w:val="en-GB"/>
              </w:rPr>
              <w:t>).</w:t>
            </w:r>
            <w:r>
              <w:rPr>
                <w:rStyle w:val="Tag"/>
                <w:lang w:val="en-GB"/>
              </w:rPr>
              <w:t>&lt;/531&gt;</w:t>
            </w:r>
          </w:p>
        </w:tc>
        <w:tc>
          <w:tcPr>
            <w:tcW w:w="0" w:type="auto"/>
            <w:shd w:val="clear" w:color="auto" w:fill="auto"/>
          </w:tcPr>
          <w:p w:rsidR="00B95EA6" w:rsidRDefault="00B95EA6">
            <w:pPr>
              <w:rPr>
                <w:lang w:val="cs-CZ"/>
              </w:rPr>
            </w:pPr>
            <w:r>
              <w:rPr>
                <w:lang w:val="cs-CZ"/>
              </w:rPr>
              <w:t>odst. 6 směrnice 2002/20/ES Evropského parlamentu a Rady ze dne 7. března 2002 o povolení pro sítě a služby elektronických komunikací (směrnice o povolení) (</w:t>
            </w:r>
            <w:proofErr w:type="spellStart"/>
            <w:r>
              <w:rPr>
                <w:lang w:val="cs-CZ"/>
              </w:rPr>
              <w:t>Úř</w:t>
            </w:r>
            <w:proofErr w:type="spellEnd"/>
            <w:r>
              <w:rPr>
                <w:lang w:val="cs-CZ"/>
              </w:rPr>
              <w:t xml:space="preserve">. </w:t>
            </w:r>
            <w:proofErr w:type="spellStart"/>
            <w:proofErr w:type="gramStart"/>
            <w:r>
              <w:rPr>
                <w:lang w:val="cs-CZ"/>
              </w:rPr>
              <w:t>věst</w:t>
            </w:r>
            <w:proofErr w:type="spellEnd"/>
            <w:proofErr w:type="gramEnd"/>
            <w:r>
              <w:rPr>
                <w:lang w:val="cs-CZ"/>
              </w:rPr>
              <w:t xml:space="preserve">. L 108, </w:t>
            </w:r>
            <w:proofErr w:type="gramStart"/>
            <w:r>
              <w:rPr>
                <w:lang w:val="cs-CZ"/>
              </w:rPr>
              <w:t>24.4.2002</w:t>
            </w:r>
            <w:proofErr w:type="gramEnd"/>
            <w:r>
              <w:rPr>
                <w:lang w:val="cs-CZ"/>
              </w:rPr>
              <w:t>, s. 21).</w:t>
            </w:r>
          </w:p>
        </w:tc>
      </w:tr>
      <w:tr w:rsidR="00B95EA6" w:rsidTr="00A26A8C">
        <w:tc>
          <w:tcPr>
            <w:tcW w:w="0" w:type="auto"/>
            <w:shd w:val="clear" w:color="auto" w:fill="auto"/>
          </w:tcPr>
          <w:p w:rsidR="00B95EA6" w:rsidRDefault="00B95EA6">
            <w:pPr>
              <w:rPr>
                <w:lang w:val="en-GB"/>
              </w:rPr>
            </w:pPr>
            <w:r>
              <w:rPr>
                <w:rStyle w:val="SegmentID"/>
                <w:lang w:val="en-GB"/>
              </w:rPr>
              <w:t>170</w:t>
            </w:r>
            <w:r>
              <w:rPr>
                <w:rStyle w:val="TransUnitID"/>
                <w:lang w:val="en-GB"/>
              </w:rPr>
              <w:t>a6196640-58e0-45b0-9f8b-1c7c6c2fea27</w:t>
            </w:r>
          </w:p>
        </w:tc>
        <w:tc>
          <w:tcPr>
            <w:tcW w:w="0" w:type="auto"/>
            <w:shd w:val="clear" w:color="auto" w:fill="auto"/>
          </w:tcPr>
          <w:p w:rsidR="00B95EA6" w:rsidRDefault="00B95EA6">
            <w:pPr>
              <w:rPr>
                <w:lang w:val="en-GB"/>
              </w:rPr>
            </w:pPr>
            <w:r>
              <w:rPr>
                <w:lang w:val="en-GB"/>
              </w:rPr>
              <w:t>http://eur-lex.europa.eu/legal-content/EN/TXT/?qid=1495697061931&amp;uri=CELEX:32017D0899</w:t>
            </w:r>
          </w:p>
        </w:tc>
        <w:tc>
          <w:tcPr>
            <w:tcW w:w="0" w:type="auto"/>
            <w:shd w:val="clear" w:color="auto" w:fill="auto"/>
          </w:tcPr>
          <w:p w:rsidR="00B95EA6" w:rsidRDefault="00B95EA6">
            <w:pPr>
              <w:rPr>
                <w:lang w:val="cs-CZ"/>
              </w:rPr>
            </w:pPr>
            <w:r>
              <w:rPr>
                <w:lang w:val="cs-CZ"/>
              </w:rPr>
              <w:t>http://eur-lex.europa.eu/legal-content/EN/TXT/?qid=1495697061931&amp;uri=CELEX:32017D0899.</w:t>
            </w:r>
          </w:p>
        </w:tc>
      </w:tr>
      <w:tr w:rsidR="00B95EA6" w:rsidTr="00A26A8C">
        <w:tc>
          <w:tcPr>
            <w:tcW w:w="0" w:type="auto"/>
            <w:shd w:val="clear" w:color="auto" w:fill="auto"/>
          </w:tcPr>
          <w:p w:rsidR="00B95EA6" w:rsidRDefault="00B95EA6">
            <w:pPr>
              <w:rPr>
                <w:lang w:val="en-GB"/>
              </w:rPr>
            </w:pPr>
            <w:r>
              <w:rPr>
                <w:rStyle w:val="SegmentID"/>
                <w:lang w:val="en-GB"/>
              </w:rPr>
              <w:t>171</w:t>
            </w:r>
            <w:r>
              <w:rPr>
                <w:rStyle w:val="TransUnitID"/>
                <w:lang w:val="en-GB"/>
              </w:rPr>
              <w:t>948fddb1-4272-43d4-95e4-1dc8ff2f279f</w:t>
            </w:r>
          </w:p>
        </w:tc>
        <w:tc>
          <w:tcPr>
            <w:tcW w:w="0" w:type="auto"/>
            <w:shd w:val="clear" w:color="auto" w:fill="auto"/>
          </w:tcPr>
          <w:p w:rsidR="00B95EA6" w:rsidRDefault="00B95EA6">
            <w:pPr>
              <w:rPr>
                <w:lang w:val="en-GB"/>
              </w:rPr>
            </w:pPr>
            <w:r>
              <w:rPr>
                <w:lang w:val="en-GB"/>
              </w:rPr>
              <w:t>http://eur-lex.europa.eu/legal-content/EN/AUTO/?uri=OJ:L:2002:108:TOC</w:t>
            </w:r>
          </w:p>
        </w:tc>
        <w:tc>
          <w:tcPr>
            <w:tcW w:w="0" w:type="auto"/>
            <w:shd w:val="clear" w:color="auto" w:fill="auto"/>
          </w:tcPr>
          <w:p w:rsidR="00B95EA6" w:rsidRDefault="00B95EA6">
            <w:pPr>
              <w:rPr>
                <w:lang w:val="cs-CZ"/>
              </w:rPr>
            </w:pPr>
            <w:r>
              <w:rPr>
                <w:lang w:val="cs-CZ"/>
              </w:rPr>
              <w:t>http://eur-lex.europa.eu/legal-content/EN/AUTO/?uri=OJ:L:2002:108:TOC.</w:t>
            </w:r>
          </w:p>
        </w:tc>
      </w:tr>
      <w:tr w:rsidR="00B95EA6" w:rsidTr="00A26A8C">
        <w:tc>
          <w:tcPr>
            <w:tcW w:w="0" w:type="auto"/>
            <w:shd w:val="clear" w:color="auto" w:fill="auto"/>
          </w:tcPr>
          <w:p w:rsidR="00B95EA6" w:rsidRDefault="00B95EA6">
            <w:pPr>
              <w:rPr>
                <w:lang w:val="en-GB"/>
              </w:rPr>
            </w:pPr>
            <w:r>
              <w:rPr>
                <w:rStyle w:val="SegmentID"/>
                <w:lang w:val="en-GB"/>
              </w:rPr>
              <w:t>172</w:t>
            </w:r>
            <w:r>
              <w:rPr>
                <w:rStyle w:val="TransUnitID"/>
                <w:lang w:val="en-GB"/>
              </w:rPr>
              <w:t>19550e3b-ab86-493a-bcfc-c3afcdb8ed0e</w:t>
            </w:r>
          </w:p>
        </w:tc>
        <w:tc>
          <w:tcPr>
            <w:tcW w:w="0" w:type="auto"/>
            <w:shd w:val="clear" w:color="auto" w:fill="auto"/>
          </w:tcPr>
          <w:p w:rsidR="00B95EA6" w:rsidRDefault="00B95EA6">
            <w:pPr>
              <w:rPr>
                <w:lang w:val="en-GB"/>
              </w:rPr>
            </w:pPr>
            <w:r>
              <w:rPr>
                <w:lang w:val="en-GB"/>
              </w:rPr>
              <w:t>ANNEX</w:t>
            </w:r>
          </w:p>
        </w:tc>
        <w:tc>
          <w:tcPr>
            <w:tcW w:w="0" w:type="auto"/>
            <w:shd w:val="clear" w:color="auto" w:fill="auto"/>
          </w:tcPr>
          <w:p w:rsidR="00B95EA6" w:rsidRDefault="00B95EA6">
            <w:pPr>
              <w:rPr>
                <w:lang w:val="cs-CZ"/>
              </w:rPr>
            </w:pPr>
            <w:r>
              <w:rPr>
                <w:lang w:val="cs-CZ"/>
              </w:rPr>
              <w:t>PŘÍLOHA</w:t>
            </w:r>
          </w:p>
        </w:tc>
      </w:tr>
      <w:tr w:rsidR="00B95EA6" w:rsidTr="00A26A8C">
        <w:tc>
          <w:tcPr>
            <w:tcW w:w="0" w:type="auto"/>
            <w:shd w:val="clear" w:color="auto" w:fill="auto"/>
          </w:tcPr>
          <w:p w:rsidR="00B95EA6" w:rsidRDefault="00B95EA6">
            <w:pPr>
              <w:rPr>
                <w:lang w:val="en-GB"/>
              </w:rPr>
            </w:pPr>
            <w:r>
              <w:rPr>
                <w:rStyle w:val="SegmentID"/>
                <w:lang w:val="en-GB"/>
              </w:rPr>
              <w:t>173</w:t>
            </w:r>
            <w:r>
              <w:rPr>
                <w:rStyle w:val="TransUnitID"/>
                <w:lang w:val="en-GB"/>
              </w:rPr>
              <w:t>4014d026-ca17-46dc-a82c-c98819b28e67</w:t>
            </w:r>
          </w:p>
        </w:tc>
        <w:tc>
          <w:tcPr>
            <w:tcW w:w="0" w:type="auto"/>
            <w:shd w:val="clear" w:color="auto" w:fill="auto"/>
          </w:tcPr>
          <w:p w:rsidR="00B95EA6" w:rsidRDefault="00B95EA6">
            <w:pPr>
              <w:rPr>
                <w:lang w:val="en-GB"/>
              </w:rPr>
            </w:pPr>
            <w:r>
              <w:rPr>
                <w:lang w:val="en-GB"/>
              </w:rPr>
              <w:t xml:space="preserve">Justified reasons for a delay in allowing the use of 700 MHz frequency </w:t>
            </w:r>
            <w:r>
              <w:rPr>
                <w:lang w:val="en-GB"/>
              </w:rPr>
              <w:lastRenderedPageBreak/>
              <w:t>band for terrestrial systems capable of providing wireless broadband electronic communications services later than 30 June 2020 (Article 1(1)):</w:t>
            </w:r>
          </w:p>
        </w:tc>
        <w:tc>
          <w:tcPr>
            <w:tcW w:w="0" w:type="auto"/>
            <w:shd w:val="clear" w:color="auto" w:fill="auto"/>
          </w:tcPr>
          <w:p w:rsidR="00B95EA6" w:rsidRDefault="00B95EA6">
            <w:pPr>
              <w:rPr>
                <w:lang w:val="cs-CZ"/>
              </w:rPr>
            </w:pPr>
            <w:r>
              <w:rPr>
                <w:lang w:val="cs-CZ"/>
              </w:rPr>
              <w:lastRenderedPageBreak/>
              <w:t xml:space="preserve">V odůvodněných případech je umožnit využívání kmitočtového pásma </w:t>
            </w:r>
            <w:r>
              <w:rPr>
                <w:lang w:val="cs-CZ"/>
              </w:rPr>
              <w:lastRenderedPageBreak/>
              <w:t>700 MHz pro zemské systémy k poskytování bezdrátových širokopásmových služeb elektronických komunikací nejpozději do 30. června 2020 (čl. 1 odst. 1)</w:t>
            </w:r>
          </w:p>
        </w:tc>
      </w:tr>
      <w:tr w:rsidR="00B95EA6" w:rsidTr="00A26A8C">
        <w:tc>
          <w:tcPr>
            <w:tcW w:w="0" w:type="auto"/>
            <w:shd w:val="clear" w:color="auto" w:fill="auto"/>
          </w:tcPr>
          <w:p w:rsidR="00B95EA6" w:rsidRDefault="00B95EA6">
            <w:pPr>
              <w:rPr>
                <w:lang w:val="en-GB"/>
              </w:rPr>
            </w:pPr>
            <w:r>
              <w:rPr>
                <w:rStyle w:val="SegmentID"/>
                <w:lang w:val="en-GB"/>
              </w:rPr>
              <w:lastRenderedPageBreak/>
              <w:t>174</w:t>
            </w:r>
            <w:r>
              <w:rPr>
                <w:rStyle w:val="TransUnitID"/>
                <w:lang w:val="en-GB"/>
              </w:rPr>
              <w:t>3e4c5c29-8994-4211-94dd-a7def9d192cd</w:t>
            </w:r>
          </w:p>
        </w:tc>
        <w:tc>
          <w:tcPr>
            <w:tcW w:w="0" w:type="auto"/>
            <w:shd w:val="clear" w:color="auto" w:fill="auto"/>
          </w:tcPr>
          <w:p w:rsidR="00B95EA6" w:rsidRDefault="00B95EA6">
            <w:pPr>
              <w:rPr>
                <w:lang w:val="en-GB"/>
              </w:rPr>
            </w:pPr>
            <w:r>
              <w:rPr>
                <w:lang w:val="en-GB"/>
              </w:rPr>
              <w:t>(1)</w:t>
            </w:r>
          </w:p>
        </w:tc>
        <w:tc>
          <w:tcPr>
            <w:tcW w:w="0" w:type="auto"/>
            <w:shd w:val="clear" w:color="auto" w:fill="auto"/>
          </w:tcPr>
          <w:p w:rsidR="00B95EA6" w:rsidRDefault="00B95EA6">
            <w:pPr>
              <w:rPr>
                <w:lang w:val="cs-CZ"/>
              </w:rPr>
            </w:pPr>
            <w:r>
              <w:rPr>
                <w:lang w:val="cs-CZ"/>
              </w:rPr>
              <w:t>(1)</w:t>
            </w:r>
          </w:p>
        </w:tc>
      </w:tr>
      <w:tr w:rsidR="00B95EA6" w:rsidTr="00A26A8C">
        <w:tc>
          <w:tcPr>
            <w:tcW w:w="0" w:type="auto"/>
            <w:shd w:val="clear" w:color="auto" w:fill="auto"/>
          </w:tcPr>
          <w:p w:rsidR="00B95EA6" w:rsidRDefault="00B95EA6">
            <w:pPr>
              <w:rPr>
                <w:lang w:val="en-GB"/>
              </w:rPr>
            </w:pPr>
            <w:r>
              <w:rPr>
                <w:rStyle w:val="SegmentID"/>
                <w:lang w:val="en-GB"/>
              </w:rPr>
              <w:t>175</w:t>
            </w:r>
            <w:r>
              <w:rPr>
                <w:rStyle w:val="TransUnitID"/>
                <w:lang w:val="en-GB"/>
              </w:rPr>
              <w:t>06942c49-470d-4d2d-9a95-73ce15b96b55</w:t>
            </w:r>
          </w:p>
        </w:tc>
        <w:tc>
          <w:tcPr>
            <w:tcW w:w="0" w:type="auto"/>
            <w:shd w:val="clear" w:color="auto" w:fill="auto"/>
          </w:tcPr>
          <w:p w:rsidR="00B95EA6" w:rsidRDefault="00B95EA6">
            <w:pPr>
              <w:rPr>
                <w:lang w:val="en-GB"/>
              </w:rPr>
            </w:pPr>
            <w:r>
              <w:rPr>
                <w:lang w:val="en-GB"/>
              </w:rPr>
              <w:t>unresolved cross-border coordination issues resulting in harmful interferences;</w:t>
            </w:r>
          </w:p>
        </w:tc>
        <w:tc>
          <w:tcPr>
            <w:tcW w:w="0" w:type="auto"/>
            <w:shd w:val="clear" w:color="auto" w:fill="auto"/>
          </w:tcPr>
          <w:p w:rsidR="00B95EA6" w:rsidRDefault="00B95EA6">
            <w:pPr>
              <w:rPr>
                <w:lang w:val="cs-CZ"/>
              </w:rPr>
            </w:pPr>
            <w:r>
              <w:rPr>
                <w:lang w:val="cs-CZ"/>
              </w:rPr>
              <w:t xml:space="preserve">přeshraniční koordinaci nevyřešených otázek </w:t>
            </w:r>
            <w:proofErr w:type="gramStart"/>
            <w:r>
              <w:rPr>
                <w:lang w:val="cs-CZ"/>
              </w:rPr>
              <w:t>souvisejících s škodlivých zásahy</w:t>
            </w:r>
            <w:proofErr w:type="gramEnd"/>
            <w:r>
              <w:rPr>
                <w:lang w:val="cs-CZ"/>
              </w:rPr>
              <w:t>; a</w:t>
            </w:r>
          </w:p>
        </w:tc>
      </w:tr>
      <w:tr w:rsidR="00B95EA6" w:rsidTr="00A26A8C">
        <w:tc>
          <w:tcPr>
            <w:tcW w:w="0" w:type="auto"/>
            <w:shd w:val="clear" w:color="auto" w:fill="auto"/>
          </w:tcPr>
          <w:p w:rsidR="00B95EA6" w:rsidRDefault="00B95EA6">
            <w:pPr>
              <w:rPr>
                <w:lang w:val="en-GB"/>
              </w:rPr>
            </w:pPr>
            <w:r>
              <w:rPr>
                <w:rStyle w:val="SegmentID"/>
                <w:lang w:val="en-GB"/>
              </w:rPr>
              <w:t>176</w:t>
            </w:r>
            <w:r>
              <w:rPr>
                <w:rStyle w:val="TransUnitID"/>
                <w:lang w:val="en-GB"/>
              </w:rPr>
              <w:t>066c490b-33a2-4f21-ac05-2459e7510358</w:t>
            </w:r>
          </w:p>
        </w:tc>
        <w:tc>
          <w:tcPr>
            <w:tcW w:w="0" w:type="auto"/>
            <w:shd w:val="clear" w:color="auto" w:fill="auto"/>
          </w:tcPr>
          <w:p w:rsidR="00B95EA6" w:rsidRDefault="00B95EA6">
            <w:pPr>
              <w:rPr>
                <w:lang w:val="en-GB"/>
              </w:rPr>
            </w:pPr>
            <w:r>
              <w:rPr>
                <w:lang w:val="en-GB"/>
              </w:rPr>
              <w:t>(2)</w:t>
            </w:r>
          </w:p>
        </w:tc>
        <w:tc>
          <w:tcPr>
            <w:tcW w:w="0" w:type="auto"/>
            <w:shd w:val="clear" w:color="auto" w:fill="auto"/>
          </w:tcPr>
          <w:p w:rsidR="00B95EA6" w:rsidRDefault="00B95EA6">
            <w:pPr>
              <w:rPr>
                <w:lang w:val="cs-CZ"/>
              </w:rPr>
            </w:pPr>
            <w:r>
              <w:rPr>
                <w:lang w:val="cs-CZ"/>
              </w:rPr>
              <w:t>Odst. 2 písm. a)</w:t>
            </w:r>
          </w:p>
        </w:tc>
      </w:tr>
      <w:tr w:rsidR="00B95EA6" w:rsidTr="00A26A8C">
        <w:tc>
          <w:tcPr>
            <w:tcW w:w="0" w:type="auto"/>
            <w:shd w:val="clear" w:color="auto" w:fill="auto"/>
          </w:tcPr>
          <w:p w:rsidR="00B95EA6" w:rsidRDefault="00B95EA6">
            <w:pPr>
              <w:rPr>
                <w:lang w:val="en-GB"/>
              </w:rPr>
            </w:pPr>
            <w:r>
              <w:rPr>
                <w:rStyle w:val="SegmentID"/>
                <w:lang w:val="en-GB"/>
              </w:rPr>
              <w:t>177</w:t>
            </w:r>
            <w:r>
              <w:rPr>
                <w:rStyle w:val="TransUnitID"/>
                <w:lang w:val="en-GB"/>
              </w:rPr>
              <w:t>9db82f62-867d-4cdd-9ccc-858750ef852f</w:t>
            </w:r>
          </w:p>
        </w:tc>
        <w:tc>
          <w:tcPr>
            <w:tcW w:w="0" w:type="auto"/>
            <w:shd w:val="clear" w:color="auto" w:fill="auto"/>
          </w:tcPr>
          <w:p w:rsidR="00B95EA6" w:rsidRDefault="00B95EA6">
            <w:pPr>
              <w:rPr>
                <w:lang w:val="en-GB"/>
              </w:rPr>
            </w:pPr>
            <w:r>
              <w:rPr>
                <w:lang w:val="en-GB"/>
              </w:rPr>
              <w:t>the need to ensure, and the complexity of ensuring, the technical migration of a large amount of the population to advanced broadcasting standards;</w:t>
            </w:r>
          </w:p>
        </w:tc>
        <w:tc>
          <w:tcPr>
            <w:tcW w:w="0" w:type="auto"/>
            <w:shd w:val="clear" w:color="auto" w:fill="auto"/>
          </w:tcPr>
          <w:p w:rsidR="00B95EA6" w:rsidRDefault="00B95EA6">
            <w:pPr>
              <w:rPr>
                <w:lang w:val="cs-CZ"/>
              </w:rPr>
            </w:pPr>
            <w:r>
              <w:rPr>
                <w:lang w:val="cs-CZ"/>
              </w:rPr>
              <w:t xml:space="preserve">Je nutné zajistit, aby technické složitosti migrační </w:t>
            </w:r>
            <w:proofErr w:type="gramStart"/>
            <w:r>
              <w:rPr>
                <w:lang w:val="cs-CZ"/>
              </w:rPr>
              <w:t>velkého</w:t>
            </w:r>
            <w:proofErr w:type="gramEnd"/>
            <w:r>
              <w:rPr>
                <w:lang w:val="cs-CZ"/>
              </w:rPr>
              <w:t xml:space="preserve"> množství souboru norem v oblasti pokročilé; a</w:t>
            </w:r>
          </w:p>
        </w:tc>
      </w:tr>
      <w:tr w:rsidR="00B95EA6" w:rsidTr="00A26A8C">
        <w:tc>
          <w:tcPr>
            <w:tcW w:w="0" w:type="auto"/>
            <w:shd w:val="clear" w:color="auto" w:fill="auto"/>
          </w:tcPr>
          <w:p w:rsidR="00B95EA6" w:rsidRDefault="00B95EA6">
            <w:pPr>
              <w:rPr>
                <w:lang w:val="en-GB"/>
              </w:rPr>
            </w:pPr>
            <w:r>
              <w:rPr>
                <w:rStyle w:val="SegmentID"/>
                <w:lang w:val="en-GB"/>
              </w:rPr>
              <w:t>178</w:t>
            </w:r>
            <w:r>
              <w:rPr>
                <w:rStyle w:val="TransUnitID"/>
                <w:lang w:val="en-GB"/>
              </w:rPr>
              <w:t>0aed146b-4768-46af-a9f8-fd11bdaa6863</w:t>
            </w:r>
          </w:p>
        </w:tc>
        <w:tc>
          <w:tcPr>
            <w:tcW w:w="0" w:type="auto"/>
            <w:shd w:val="clear" w:color="auto" w:fill="auto"/>
          </w:tcPr>
          <w:p w:rsidR="00B95EA6" w:rsidRDefault="00B95EA6">
            <w:pPr>
              <w:rPr>
                <w:lang w:val="en-GB"/>
              </w:rPr>
            </w:pPr>
            <w:r>
              <w:rPr>
                <w:lang w:val="en-GB"/>
              </w:rPr>
              <w:t>(3)</w:t>
            </w:r>
          </w:p>
        </w:tc>
        <w:tc>
          <w:tcPr>
            <w:tcW w:w="0" w:type="auto"/>
            <w:shd w:val="clear" w:color="auto" w:fill="auto"/>
          </w:tcPr>
          <w:p w:rsidR="00B95EA6" w:rsidRDefault="00B95EA6">
            <w:pPr>
              <w:rPr>
                <w:lang w:val="cs-CZ"/>
              </w:rPr>
            </w:pPr>
            <w:r>
              <w:rPr>
                <w:lang w:val="cs-CZ"/>
              </w:rPr>
              <w:t>(3)</w:t>
            </w:r>
          </w:p>
        </w:tc>
      </w:tr>
      <w:tr w:rsidR="00B95EA6" w:rsidTr="00A26A8C">
        <w:tc>
          <w:tcPr>
            <w:tcW w:w="0" w:type="auto"/>
            <w:shd w:val="clear" w:color="auto" w:fill="auto"/>
          </w:tcPr>
          <w:p w:rsidR="00B95EA6" w:rsidRDefault="00B95EA6">
            <w:pPr>
              <w:rPr>
                <w:lang w:val="en-GB"/>
              </w:rPr>
            </w:pPr>
            <w:r>
              <w:rPr>
                <w:rStyle w:val="SegmentID"/>
                <w:lang w:val="en-GB"/>
              </w:rPr>
              <w:t>179</w:t>
            </w:r>
            <w:r>
              <w:rPr>
                <w:rStyle w:val="TransUnitID"/>
                <w:lang w:val="en-GB"/>
              </w:rPr>
              <w:t>8dbed8ef-ae0b-40d1-81ca-e346f1c8d512</w:t>
            </w:r>
          </w:p>
        </w:tc>
        <w:tc>
          <w:tcPr>
            <w:tcW w:w="0" w:type="auto"/>
            <w:shd w:val="clear" w:color="auto" w:fill="auto"/>
          </w:tcPr>
          <w:p w:rsidR="00B95EA6" w:rsidRDefault="00B95EA6">
            <w:pPr>
              <w:rPr>
                <w:lang w:val="en-GB"/>
              </w:rPr>
            </w:pPr>
            <w:r>
              <w:rPr>
                <w:lang w:val="en-GB"/>
              </w:rPr>
              <w:t>the financial costs of transition exceeding the expected revenue generated by award procedures;</w:t>
            </w:r>
          </w:p>
        </w:tc>
        <w:tc>
          <w:tcPr>
            <w:tcW w:w="0" w:type="auto"/>
            <w:shd w:val="clear" w:color="auto" w:fill="auto"/>
          </w:tcPr>
          <w:p w:rsidR="00B95EA6" w:rsidRDefault="00B95EA6">
            <w:pPr>
              <w:rPr>
                <w:lang w:val="cs-CZ"/>
              </w:rPr>
            </w:pPr>
            <w:r>
              <w:rPr>
                <w:lang w:val="cs-CZ"/>
              </w:rPr>
              <w:t>finanční náklady na přechod vyšší než očekávané příjmy z výsledku řízení.</w:t>
            </w:r>
          </w:p>
        </w:tc>
      </w:tr>
      <w:tr w:rsidR="00B95EA6" w:rsidTr="00A26A8C">
        <w:tc>
          <w:tcPr>
            <w:tcW w:w="0" w:type="auto"/>
            <w:shd w:val="clear" w:color="auto" w:fill="auto"/>
          </w:tcPr>
          <w:p w:rsidR="00B95EA6" w:rsidRDefault="00B95EA6">
            <w:pPr>
              <w:rPr>
                <w:lang w:val="en-GB"/>
              </w:rPr>
            </w:pPr>
            <w:r>
              <w:rPr>
                <w:rStyle w:val="SegmentID"/>
                <w:lang w:val="en-GB"/>
              </w:rPr>
              <w:t>180</w:t>
            </w:r>
            <w:r>
              <w:rPr>
                <w:rStyle w:val="TransUnitID"/>
                <w:lang w:val="en-GB"/>
              </w:rPr>
              <w:t>8efbc28a-9b09-439e-a330-7e800b163c94</w:t>
            </w:r>
          </w:p>
        </w:tc>
        <w:tc>
          <w:tcPr>
            <w:tcW w:w="0" w:type="auto"/>
            <w:shd w:val="clear" w:color="auto" w:fill="auto"/>
          </w:tcPr>
          <w:p w:rsidR="00B95EA6" w:rsidRDefault="00B95EA6">
            <w:pPr>
              <w:rPr>
                <w:lang w:val="en-GB"/>
              </w:rPr>
            </w:pPr>
            <w:r>
              <w:rPr>
                <w:lang w:val="en-GB"/>
              </w:rPr>
              <w:t>(4)</w:t>
            </w:r>
          </w:p>
        </w:tc>
        <w:tc>
          <w:tcPr>
            <w:tcW w:w="0" w:type="auto"/>
            <w:shd w:val="clear" w:color="auto" w:fill="auto"/>
          </w:tcPr>
          <w:p w:rsidR="00B95EA6" w:rsidRDefault="00B95EA6">
            <w:pPr>
              <w:rPr>
                <w:lang w:val="cs-CZ"/>
              </w:rPr>
            </w:pPr>
            <w:r>
              <w:rPr>
                <w:lang w:val="cs-CZ"/>
              </w:rPr>
              <w:t>(4)</w:t>
            </w:r>
          </w:p>
        </w:tc>
      </w:tr>
      <w:tr w:rsidR="00B95EA6" w:rsidTr="00A26A8C">
        <w:tc>
          <w:tcPr>
            <w:tcW w:w="0" w:type="auto"/>
            <w:shd w:val="clear" w:color="auto" w:fill="auto"/>
          </w:tcPr>
          <w:p w:rsidR="00B95EA6" w:rsidRDefault="00B95EA6">
            <w:pPr>
              <w:rPr>
                <w:lang w:val="en-GB"/>
              </w:rPr>
            </w:pPr>
            <w:r>
              <w:rPr>
                <w:rStyle w:val="SegmentID"/>
                <w:lang w:val="en-GB"/>
              </w:rPr>
              <w:t>181</w:t>
            </w:r>
            <w:r>
              <w:rPr>
                <w:rStyle w:val="TransUnitID"/>
                <w:lang w:val="en-GB"/>
              </w:rPr>
              <w:t>c185dddd-f285-4c67-b430-4e887a9a3c58</w:t>
            </w:r>
          </w:p>
        </w:tc>
        <w:tc>
          <w:tcPr>
            <w:tcW w:w="0" w:type="auto"/>
            <w:shd w:val="clear" w:color="auto" w:fill="auto"/>
          </w:tcPr>
          <w:p w:rsidR="00B95EA6" w:rsidRDefault="00B95EA6">
            <w:pPr>
              <w:rPr>
                <w:lang w:val="en-GB"/>
              </w:rPr>
            </w:pPr>
            <w:r>
              <w:rPr>
                <w:rStyle w:val="Tag"/>
                <w:lang w:val="en-GB"/>
              </w:rPr>
              <w:t>&lt;565&gt;</w:t>
            </w:r>
            <w:r>
              <w:rPr>
                <w:lang w:val="en-GB"/>
              </w:rPr>
              <w:t>force majeure</w:t>
            </w:r>
            <w:r>
              <w:rPr>
                <w:rStyle w:val="Tag"/>
                <w:lang w:val="en-GB"/>
              </w:rPr>
              <w:t>&lt;/565&gt;</w:t>
            </w:r>
            <w:r>
              <w:rPr>
                <w:lang w:val="en-GB"/>
              </w:rPr>
              <w:t>.</w:t>
            </w:r>
          </w:p>
        </w:tc>
        <w:tc>
          <w:tcPr>
            <w:tcW w:w="0" w:type="auto"/>
            <w:shd w:val="clear" w:color="auto" w:fill="auto"/>
          </w:tcPr>
          <w:p w:rsidR="00B95EA6" w:rsidRDefault="00B95EA6">
            <w:pPr>
              <w:rPr>
                <w:lang w:val="cs-CZ"/>
              </w:rPr>
            </w:pPr>
            <w:r>
              <w:rPr>
                <w:lang w:val="cs-CZ"/>
              </w:rPr>
              <w:t>vyšší moc.</w:t>
            </w:r>
          </w:p>
        </w:tc>
      </w:tr>
    </w:tbl>
    <w:p w:rsidR="00D56B2A" w:rsidRDefault="00D56B2A"/>
    <w:sectPr w:rsidR="00D56B2A">
      <w:pgSz w:w="15840" w:h="12240" w:orient="landscape"/>
      <w:pgMar w:top="720" w:right="720" w:bottom="720" w:left="72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ED609B"/>
    <w:rsid w:val="00A26A8C"/>
    <w:rsid w:val="00B95EA6"/>
    <w:rsid w:val="00D56B2A"/>
    <w:rsid w:val="00ED609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Standardnpsmoodstavce"/>
    <w:uiPriority w:val="1"/>
    <w:qFormat/>
    <w:rPr>
      <w:i/>
      <w:color w:val="FF0066"/>
    </w:rPr>
  </w:style>
  <w:style w:type="character" w:customStyle="1" w:styleId="LockedContent">
    <w:name w:val="LockedContent"/>
    <w:basedOn w:val="Standardnpsmoodstavce"/>
    <w:uiPriority w:val="1"/>
    <w:qFormat/>
    <w:rPr>
      <w:i/>
      <w:color w:val="808080" w:themeColor="background1" w:themeShade="80"/>
    </w:rPr>
  </w:style>
  <w:style w:type="character" w:customStyle="1" w:styleId="TransUnitID">
    <w:name w:val="TransUnitID"/>
    <w:basedOn w:val="Standardnpsmoodstavce"/>
    <w:uiPriority w:val="1"/>
    <w:qFormat/>
    <w:rPr>
      <w:vanish/>
      <w:color w:val="auto"/>
      <w:sz w:val="2"/>
    </w:rPr>
  </w:style>
  <w:style w:type="character" w:customStyle="1" w:styleId="SegmentID">
    <w:name w:val="SegmentID"/>
    <w:basedOn w:val="Standardnpsmoodstavce"/>
    <w:uiPriority w:val="1"/>
    <w:qFormat/>
    <w:rPr>
      <w:color w:val="auto"/>
    </w:rPr>
  </w:style>
  <w:style w:type="paragraph" w:styleId="Textbubliny">
    <w:name w:val="Balloon Text"/>
    <w:basedOn w:val="Normln"/>
    <w:link w:val="TextbublinyChar"/>
    <w:uiPriority w:val="99"/>
    <w:semiHidden/>
    <w:unhideWhenUsed/>
    <w:rsid w:val="00A26A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A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2"/>
        <w:lang w:val="cs-CZ" w:eastAsia="cs-CZ" w:bidi="bo-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b910e076-ebf9-40ae-9026-b930f9ca87c9_1" sourcehash="-337650530" targethash="1836202206"/>
  <segment id="f1289443-cd40-47e3-8d93-5b85858bd191_2" sourcehash="1877495973" targethash="-1968178750"/>
  <segment id="76fa4459-668d-4824-a9e8-38a2c23e428c_3" sourcehash="516131963" targethash="1862213120"/>
  <segment id="d23c69c0-224a-49f2-8e23-ac0096f28bc6_4" sourcehash="1595840201" targethash="1904950788"/>
  <segment id="cc56d61d-8959-46e2-bdca-47b2a16a85a8_5" sourcehash="2066979859" targethash="-576234104"/>
  <segment id="51ad2709-f548-4a6c-a632-71973a4f3c7b_6" sourcehash="-982605065" targethash="720805611"/>
  <segment id="1715fa56-9c47-4c8f-8003-1946d48f58dc_7" sourcehash="414187192" targethash="-1083770971"/>
  <segment id="e14c844a-5bfe-41ab-913d-209ff133cada_8" sourcehash="1675429244" targethash="1779433179"/>
  <segment id="9d962e8c-af9f-4636-8455-1b49deeebcc9_9" sourcehash="303347776" targethash="318421056"/>
  <segment id="6b1d6bce-c886-4874-b625-83d740410619_10" sourcehash="1603996581" targethash="1667927172"/>
  <segment id="4f110972-be42-4de7-80bf-d68928073133_11" sourcehash="810732662" targethash="1568938116"/>
  <segment id="06ee9b4a-7f85-41e0-b08e-b26f755f6988_12" sourcehash="308721752" targethash="310949976"/>
  <segment id="a4b20492-406d-4faa-ba4e-dcb98c0d77ca_13" sourcehash="18289417" targethash="-1987760072"/>
  <segment id="e8123f59-089c-44b9-8a58-4242f2db7422_14" sourcehash="1703156939" targethash="1703156939"/>
  <segment id="360744c9-5e43-4ec0-bda9-191b8c08006f_15" sourcehash="-858881383" targethash="-51563427"/>
  <segment id="77b635d4-bf96-4836-9ea2-b9a871ec8615_16" sourcehash="308983896" targethash="310687832"/>
  <segment id="f98aff8e-dd54-40d1-bf72-7805c0a32399_17" sourcehash="-555838352" targethash="977287219"/>
  <segment id="ca51e542-8f1c-45cb-9458-b10d86de68a7_18" sourcehash="-2025363745" targethash="-2030475045"/>
  <segment id="ca51e542-8f1c-45cb-9458-b10d86de68a7_19" sourcehash="492105630" targethash="-1800757523"/>
  <segment id="8b12a90e-3240-4f27-b6b3-97d86dab380a_20" sourcehash="-379266727" targethash="-379266727"/>
  <segment id="650487c4-0049-4e6b-bae8-83d96a3ea629_21" sourcehash="-8109775" targethash="220878169"/>
  <segment id="650487c4-0049-4e6b-bae8-83d96a3ea629_22" sourcehash="-445393777" targethash="-1522407110"/>
  <segment id="9fba4db1-66c6-49e9-b6bb-8cff02dc6fe1_23" sourcehash="-560044521" targethash="-560044521"/>
  <segment id="aa522b04-51ed-4f1b-8446-1dcee06b4482_24" sourcehash="-528216312" targethash="761842171"/>
  <segment id="aa522b04-51ed-4f1b-8446-1dcee06b4482_25" sourcehash="-527839516" targethash="-1827367750"/>
  <segment id="38a5778a-71d0-49fe-add3-b69f80c83289_26" sourcehash="-910251296" targethash="-910251296"/>
  <segment id="31e61aa3-b0c7-412f-af1e-c617bb8c3139_27" sourcehash="85013329" targethash="-1737696543"/>
  <segment id="ed922fdb-672f-4fc1-90e9-35ab5b277953_28" sourcehash="389476463" targethash="389476463"/>
  <segment id="adea8684-365e-4724-b2c7-23530dc648d9_29" sourcehash="-2022263706" targethash="-388356098"/>
  <segment id="adea8684-365e-4724-b2c7-23530dc648d9_30" sourcehash="-985320693" targethash="-124999505"/>
  <segment id="adea8684-365e-4724-b2c7-23530dc648d9_31" sourcehash="-326807154" targethash="1162240293"/>
  <segment id="adea8684-365e-4724-b2c7-23530dc648d9_32" sourcehash="769415307" targethash="1350834052"/>
  <segment id="adea8684-365e-4724-b2c7-23530dc648d9_33" sourcehash="-1941178582" targethash="-601794305"/>
  <segment id="a1e25ea1-ee23-4253-8b69-6913ebf7c0a2_34" sourcehash="-1471484222" targethash="-1471484222"/>
  <segment id="3d956580-662c-4eb9-883a-0832fc13f3a5_35" sourcehash="-90935402" targethash="1034176225"/>
  <segment id="4cfb6b9f-b135-4eeb-a6a4-74c5316c00c2_36" sourcehash="-1569310225" targethash="-1569310225"/>
  <segment id="a9731573-b00a-44d1-a1f3-0e1647f62dee_37" sourcehash="-1752372298" targethash="1082496689"/>
  <segment id="a9731573-b00a-44d1-a1f3-0e1647f62dee_38" sourcehash="1637745875" targethash="1599908589"/>
  <segment id="9684221d-5ea2-45d1-a1d3-dfaf20bd7b1e_39" sourcehash="1938619224" targethash="1938619224"/>
  <segment id="9a09706a-fd48-478f-9b87-ba65a7315feb_40" sourcehash="-1526685829" targethash="-1430466412"/>
  <segment id="9a09706a-fd48-478f-9b87-ba65a7315feb_41" sourcehash="704420429" targethash="-224101620"/>
  <segment id="9a09706a-fd48-478f-9b87-ba65a7315feb_42" sourcehash="-1464336511" targethash="-1891075678"/>
  <segment id="9a09706a-fd48-478f-9b87-ba65a7315feb_43" sourcehash="994400259" targethash="-1778206956"/>
  <segment id="30fd7383-7c69-44cc-9e87-f0ad9fdfe95e_44" sourcehash="-1344849719" targethash="-1344849719"/>
  <segment id="05f19d89-2a52-4f01-a8dd-bccde0926d5d_45" sourcehash="1465094685" targethash="1423002262"/>
  <segment id="05f19d89-2a52-4f01-a8dd-bccde0926d5d_46" sourcehash="-31125761" targethash="628321273"/>
  <segment id="05f19d89-2a52-4f01-a8dd-bccde0926d5d_47" sourcehash="-1211881597" targethash="-626152124"/>
  <segment id="05f19d89-2a52-4f01-a8dd-bccde0926d5d_48" sourcehash="1257479127" targethash="1354714270"/>
  <segment id="05f19d89-2a52-4f01-a8dd-bccde0926d5d_49" sourcehash="-1448289451" targethash="-1709046973"/>
  <segment id="3d3e7312-4d2c-4b8d-a6e0-73397a0ce635_50" sourcehash="-1304255189" targethash="-1304255189"/>
  <segment id="c9e43272-1789-4e64-bd17-c3584f7b90a6_51" sourcehash="-998499393" targethash="-1746470076"/>
  <segment id="c9e43272-1789-4e64-bd17-c3584f7b90a6_52" sourcehash="257634519" targethash="-1221354757"/>
  <segment id="c9e43272-1789-4e64-bd17-c3584f7b90a6_53" sourcehash="-1397180387" targethash="154444711"/>
  <segment id="c9e43272-1789-4e64-bd17-c3584f7b90a6_54" sourcehash="-23757085" targethash="1888462347"/>
  <segment id="59bc7df5-a75b-40c1-8fed-0b594ce9bd3a_55" sourcehash="1122090951" targethash="1122090951"/>
  <segment id="aaefc183-f784-4d80-9cd8-43b1777b1e87_56" sourcehash="-1135481220" targethash="888247264"/>
  <segment id="aaefc183-f784-4d80-9cd8-43b1777b1e87_57" sourcehash="210663318" targethash="-1527606524"/>
  <segment id="2a44543a-005c-4c83-aada-f8d855b2af0e_58" sourcehash="299200106" targethash="299200106"/>
  <segment id="06d0c250-2d5c-42e2-aaae-bf2e4f1cd21a_59" sourcehash="-1408157180" targethash="-374961886"/>
  <segment id="06d0c250-2d5c-42e2-aaae-bf2e4f1cd21a_60" sourcehash="-1742729346" targethash="288968361"/>
  <segment id="41d4dd85-de15-459a-bc59-1e6b0675523e_61" sourcehash="-1899576250" targethash="-1899576250"/>
  <segment id="a9f75740-7868-4f80-b118-7b28f1e935ed_62" sourcehash="459271926" targethash="419653662"/>
  <segment id="a9f75740-7868-4f80-b118-7b28f1e935ed_63" sourcehash="-889765274" targethash="655654596"/>
  <segment id="a9f75740-7868-4f80-b118-7b28f1e935ed_64" sourcehash="1815439854" targethash="-54414781"/>
  <segment id="2a01b7ae-035f-4ff5-9be2-ada534bf3489_65" sourcehash="1741747698" targethash="1741747698"/>
  <segment id="b210f2f1-716e-459f-a92e-71b1fd28617a_66" sourcehash="1186528207" targethash="-337045606"/>
  <segment id="b210f2f1-716e-459f-a92e-71b1fd28617a_67" sourcehash="-1175619453" targethash="1788180730"/>
  <segment id="b210f2f1-716e-459f-a92e-71b1fd28617a_68" sourcehash="-2025468092" targethash="2123488276"/>
  <segment id="b210f2f1-716e-459f-a92e-71b1fd28617a_69" sourcehash="1812367368" targethash="598835492"/>
  <segment id="b210f2f1-716e-459f-a92e-71b1fd28617a_70" sourcehash="359063919" targethash="-1976067369"/>
  <segment id="e9b5c7ed-c636-408e-ae0e-e6a76938ad30_71" sourcehash="-1251307536" targethash="-1251307536"/>
  <segment id="c4bf1e45-c9d7-415e-b115-5aeae9de5cdc_72" sourcehash="1911344728" targethash="1542928453"/>
  <segment id="c4bf1e45-c9d7-415e-b115-5aeae9de5cdc_73" sourcehash="925272061" targethash="-1501492459"/>
  <segment id="c4bf1e45-c9d7-415e-b115-5aeae9de5cdc_74" sourcehash="859754559" targethash="-1996620174"/>
  <segment id="c4bf1e45-c9d7-415e-b115-5aeae9de5cdc_75" sourcehash="1674516740" targethash="-1543450445"/>
  <segment id="6c3139ef-91c2-461f-a4a9-a51a15c5d49c_76" sourcehash="308983902" targethash="310687838"/>
  <segment id="38ff3204-92f1-4046-88e4-26e55bb459d0_77" sourcehash="1390432631" targethash="-506859725"/>
  <segment id="0344b4a7-3abc-4798-a9ff-20f69ed08d65_78" sourcehash="544521629" targethash="351074584"/>
  <segment id="faf71fc4-cf57-4521-bc6b-f29dfd4cced3_79" sourcehash="-991707346" targethash="2043308386"/>
  <segment id="af8c4b02-1620-44e4-98cc-c9f5df027a24_80" sourcehash="1171301794" targethash="2012141610"/>
  <segment id="af8c4b02-1620-44e4-98cc-c9f5df027a24_81" sourcehash="-1229826527" targethash="-647405699"/>
  <segment id="af8c4b02-1620-44e4-98cc-c9f5df027a24_82" sourcehash="-1895116463" targethash="1946836489"/>
  <segment id="ef9036a3-cf44-487d-b910-c932eb2ecdb9_83" sourcehash="308918351" targethash="310884431"/>
  <segment id="85eb6881-8ee8-447f-82d2-9fcd7d6d7f5f_84" sourcehash="775458745" targethash="775458745"/>
  <segment id="78410cd5-e7ac-4367-a8ca-aa87a529ec0b_85" sourcehash="1680768621" targethash="-920832559"/>
  <segment id="78410cd5-e7ac-4367-a8ca-aa87a529ec0b_86" sourcehash="962476646" targethash="-1121328353"/>
  <segment id="78410cd5-e7ac-4367-a8ca-aa87a529ec0b_87" sourcehash="-630296216" targethash="-115434915"/>
  <segment id="78410cd5-e7ac-4367-a8ca-aa87a529ec0b_88" sourcehash="-1786816779" targethash="2082121228"/>
  <segment id="78410cd5-e7ac-4367-a8ca-aa87a529ec0b_89" sourcehash="-1068646790" targethash="-1013349752"/>
  <segment id="ff607603-665d-4037-86b4-97874a868dfb_90" sourcehash="2066710729" targethash="-1403986123"/>
  <segment id="2401ca5b-6919-4e99-a01d-8895178274e9_91" sourcehash="1370922337" targethash="366961368"/>
  <segment id="2401ca5b-6919-4e99-a01d-8895178274e9_92" sourcehash="-1552215821" targethash="806181392"/>
  <segment id="2401ca5b-6919-4e99-a01d-8895178274e9_93" sourcehash="17722600" targethash="1444927651"/>
  <segment id="2401ca5b-6919-4e99-a01d-8895178274e9_94" sourcehash="-817668913" targethash="-763312055"/>
  <segment id="b433fa5b-dbc8-4b64-9dcc-d57a290a5d4b_95" sourcehash="1182545301" targethash="1182545301"/>
  <segment id="852fae71-f51f-4dfd-ae23-aa055fc9a0d2_96" sourcehash="461606146" targethash="-1733441748"/>
  <segment id="852fae71-f51f-4dfd-ae23-aa055fc9a0d2_97" sourcehash="-1324426184" targethash="44004683"/>
  <segment id="20a8be98-639a-4986-b4d3-4a02d090f1d9_98" sourcehash="303872064" targethash="317896768"/>
  <segment id="bee06801-349d-48c4-ba25-ab2ffbe6fce7_99" sourcehash="2096100734" targethash="1439623081"/>
  <segment id="45faa102-9fe1-4e52-aa7b-1c56bf8e5a7e_100" sourcehash="-1855414650" targethash="1723095925"/>
  <segment id="45faa102-9fe1-4e52-aa7b-1c56bf8e5a7e_101" sourcehash="-977268076" targethash="232718263"/>
  <segment id="5705e2ca-a901-42e6-a866-cd86e967d2f0_102" sourcehash="122570111" targethash="-1341810909"/>
  <segment id="2739d4b7-7031-4da7-ba75-59de4d046a34_103" sourcehash="861810013" targethash="-851331208"/>
  <segment id="2739d4b7-7031-4da7-ba75-59de4d046a34_104" sourcehash="1403493843" targethash="-1903870375"/>
  <segment id="baf64289-68c4-4a88-a32a-38fa2eb899b0_105" sourcehash="-2132470233" targethash="-1756151605"/>
  <segment id="c6189a93-8b31-4ebd-adc2-120cff55dfdd_106" sourcehash="-1478324688" targethash="1760963800"/>
  <segment id="4c618f5f-3b00-4274-8349-3ed138b227b7_107" sourcehash="814291975" targethash="814291975"/>
  <segment id="4c618f5f-3b00-4274-8349-3ed138b227b7_108" sourcehash="-259565262" targethash="-454523389"/>
  <segment id="119dbd7c-cd25-4ce7-9422-0cea69d97c41_109" sourcehash="597795892" targethash="1038130944"/>
  <segment id="119dbd7c-cd25-4ce7-9422-0cea69d97c41_110" sourcehash="1062023165" targethash="115314567"/>
  <segment id="119dbd7c-cd25-4ce7-9422-0cea69d97c41_111" sourcehash="102784566" targethash="-80751089"/>
  <segment id="025ced23-b969-47ee-b2cc-55ac0e52e05d_112" sourcehash="600038873" targethash="-34309257"/>
  <segment id="fda8f02f-dc40-4e2a-8eaa-4a4ed1ea2bbf_113" sourcehash="-2040057958" targethash="-2040057958"/>
  <segment id="fda8f02f-dc40-4e2a-8eaa-4a4ed1ea2bbf_114" sourcehash="-740476594" targethash="1560762680"/>
  <segment id="2046fa9a-edb0-4489-9d21-000ac30cf61d_115" sourcehash="-37681828" targethash="-37681828"/>
  <segment id="2046fa9a-edb0-4489-9d21-000ac30cf61d_116" sourcehash="85637143" targethash="-467242985"/>
  <segment id="0852723e-9057-457c-bde0-bb1d081a3b5b_117" sourcehash="1915411105" targethash="1135930389"/>
  <segment id="62660c1d-7c88-4da3-9595-13b2258bd85e_118" sourcehash="-1153357508" targethash="-1153357508"/>
  <segment id="62660c1d-7c88-4da3-9595-13b2258bd85e_119" sourcehash="-1706088667" targethash="215368557"/>
  <segment id="d199c7d5-9d84-4351-9cdd-e68d5facc219_120" sourcehash="773228406" targethash="2091197853"/>
  <segment id="bf90aeca-1b30-4d85-824e-6d3a431c843b_121" sourcehash="-145006847" targethash="-1817373918"/>
  <segment id="f45726a0-fbe9-4d28-a6cf-d7facd236436_122" sourcehash="306652674" targethash="-194411288"/>
  <segment id="db92e2c0-c63f-4a72-9191-7d649be8d37a_123" sourcehash="-2039926885" targethash="-2039926885"/>
  <segment id="db92e2c0-c63f-4a72-9191-7d649be8d37a_124" sourcehash="669539356" targethash="-943581652"/>
  <segment id="db92e2c0-c63f-4a72-9191-7d649be8d37a_125" sourcehash="-241728101" targethash="300324246"/>
  <segment id="917e6b34-dd36-42e6-bc14-aae123b454aa_126" sourcehash="-1636726357" targethash="-1636726357"/>
  <segment id="917e6b34-dd36-42e6-bc14-aae123b454aa_127" sourcehash="136142102" targethash="1754862833"/>
  <segment id="ee08006f-af02-46ee-8d6c-1920f2923af7_128" sourcehash="625221547" targethash="1275182414"/>
  <segment id="7233b2c8-a12e-490a-b7ce-8106d66a633e_129" sourcehash="50633548" targethash="-1157330767"/>
  <segment id="7233b2c8-a12e-490a-b7ce-8106d66a633e_130" sourcehash="-242820566" targethash="-484486484"/>
  <segment id="7233b2c8-a12e-490a-b7ce-8106d66a633e_131" sourcehash="-1113992195" targethash="1757511459"/>
  <segment id="ea2f8a9b-3bbc-419b-addb-a0be7606d327_132" sourcehash="1851495070" targethash="-1833226118"/>
  <segment id="27d01816-6f99-49b4-b33c-8105aa72b8f8_133" sourcehash="-2039992421" targethash="-2039992421"/>
  <segment id="27d01816-6f99-49b4-b33c-8105aa72b8f8_134" sourcehash="-1959658874" targethash="-304809346"/>
  <segment id="27d01816-6f99-49b4-b33c-8105aa72b8f8_135" sourcehash="-946718974" targethash="-1668366843"/>
  <segment id="ff9cd8bf-a724-4b91-8649-42ed936041ae_136" sourcehash="-1636660821" targethash="-1636660821"/>
  <segment id="ff9cd8bf-a724-4b91-8649-42ed936041ae_137" sourcehash="808249235" targethash="1189627414"/>
  <segment id="45bae47d-4911-49fb-b869-43a8df8e013a_138" sourcehash="1977156453" targethash="-171531902"/>
  <segment id="8413bbb9-f23e-4031-a4ae-e56abbdd2f5a_139" sourcehash="1537893791" targethash="340139504"/>
  <segment id="89ed74dc-853f-49df-ba63-73e8f2d717fd_140" sourcehash="-1153980530" targethash="-1532532515"/>
  <segment id="f299967a-537d-45d4-98e0-360c2494c9c7_141" sourcehash="118632759" targethash="212374481"/>
  <segment id="241a360b-5ce3-45b8-8a5a-9d180ddb3555_142" sourcehash="-328616756" targethash="-1813351621"/>
  <segment id="241a360b-5ce3-45b8-8a5a-9d180ddb3555_143" sourcehash="-1499943360" targethash="1145227799"/>
  <segment id="ae348d63-d396-45da-b86a-63928a2ac76a_144" sourcehash="844321324" targethash="-1400704819"/>
  <segment id="af3183e3-af9e-4c76-b755-83777b88fdc4_145" sourcehash="1203844226" targethash="1181623645"/>
  <segment id="275f0d65-35e2-4bcb-82a7-58cec1a90e58_146" sourcehash="-62211725" targethash="-570025069"/>
  <segment id="5f017463-73e1-4fe2-ac6a-e67c79e336c5_147" sourcehash="-2029946028" targethash="-676439800"/>
  <segment id="25cf6be5-be61-45e5-86f5-866e838c720d_148" sourcehash="-2012834419" targethash="449062874"/>
  <segment id="f963d822-ecef-4e3c-b858-4cffa795ee4c_149" sourcehash="-2118827644" targethash="-1388142471"/>
  <segment id="4652e53e-43af-4dec-b250-2fae51b33bb6_150" sourcehash="-977012139" targethash="-417640716"/>
  <segment id="7ff4a5a0-97dd-4fdb-a3d4-703ca091b542_151" sourcehash="-447185268" targethash="-447185268"/>
  <segment id="8b17ca28-aadf-435f-af81-415c3429d861_152" sourcehash="-274207906" targethash="1338294353"/>
  <segment id="c7c4d872-3314-4fd7-a93a-450e8f122181_153" sourcehash="-305587834" targethash="-820925145"/>
  <segment id="218eb953-abb4-43e5-a879-5c57d2cc7967_154" sourcehash="801617372" targethash="801617372"/>
  <segment id="bd893f94-19a9-4e56-967b-b17d5a5eb2e3_155" sourcehash="-635914068" targethash="2064722259"/>
  <segment id="53159fc4-7714-4203-96b9-58db8e24c133_156" sourcehash="1492458780" targethash="1478171932"/>
  <segment id="2c37799d-1a91-4bba-9b51-cc5e48d83469_157" sourcehash="-1462746864" targethash="-1459732208"/>
  <segment id="4d2fd25d-179d-4b06-a9b0-9d342e514968_158" sourcehash="1303510005" targethash="-336454635"/>
  <segment id="6124c794-c2bd-4771-96de-808cdf44d998_159" sourcehash="-1686886085" targethash="-1684395717"/>
  <segment id="3f994524-cf45-4f39-bae3-d0866321b809_160" sourcehash="-1795428903" targethash="856806922"/>
  <segment id="0c82ba8c-3c40-47ae-a1de-2f3d60271e3a_161" sourcehash="-2042969069" targethash="-2032876525"/>
  <segment id="36acf067-02ba-442e-8500-5843343d7e91_162" sourcehash="444271198" targethash="437324382"/>
  <segment id="bc0a14a2-1dee-407f-bef5-d85f278463dd_163" sourcehash="541066355" targethash="1275654831"/>
  <segment id="a8eb73f6-4ace-4396-b1d7-5d50a703dbc8_164" sourcehash="-1643829694" targethash="-1628756414"/>
  <segment id="57515d55-2e50-4400-a721-0a192a542e6e_165" sourcehash="-1442636555" targethash="-1435689739"/>
  <segment id="7b513e4a-d4ba-40a3-bd8f-365484668612_166" sourcehash="582666170" targethash="-1124534518"/>
  <segment id="af1e16e5-51c1-49ab-8588-a1706010a912_167" sourcehash="-166754127" targethash="-152991567"/>
  <segment id="4682e181-157e-4ce5-9a5e-8a8c552d18c1_168" sourcehash="-327143276" targethash="-319934316"/>
  <segment id="14189a30-46c5-4762-8a51-a3ef8fa7c5ae_169" sourcehash="423099178" targethash="755345099"/>
  <segment id="a6196640-58e0-45b0-9f8b-1c7c6c2fea27_170" sourcehash="1759664382" targethash="1745639678"/>
  <segment id="948fddb1-4272-43d4-95e4-1dc8ff2f279f_171" sourcehash="392317185" targethash="386681089"/>
  <segment id="19550e3b-ab86-493a-bcfc-c3afcdb8ed0e_172" sourcehash="1040456400" targethash="1174143526"/>
  <segment id="4014d026-ca17-46dc-a82c-c98819b28e67_173" sourcehash="1930888031" targethash="1695955652"/>
  <segment id="3e4c5c29-8994-4211-94dd-a7def9d192cd_174" sourcehash="-370638127" targethash="-370638127"/>
  <segment id="06942c49-470d-4d2d-9a95-73ce15b96b55_175" sourcehash="1047556918" targethash="-364998511"/>
  <segment id="066c490b-33a2-4f21-ac05-2459e7510358_176" sourcehash="-1807470284" targethash="1893375351"/>
  <segment id="9db82f62-867d-4cdd-9ccc-858750ef852f_177" sourcehash="-1302340216" targethash="-1557360708"/>
  <segment id="0aed146b-4768-46af-a9f8-fd11bdaa6863_178" sourcehash="-2032214906" targethash="-2032214906"/>
  <segment id="8dbed8ef-ae0b-40d1-81ca-e346f1c8d512_179" sourcehash="-1981563648" targethash="433399616"/>
  <segment id="8efbc28a-9b09-439e-a330-7e800b163c94_180" sourcehash="-1537046864" targethash="-1537046864"/>
  <segment id="c185dddd-f285-4c67-b430-4e887a9a3c58_181" sourcehash="2015221397" targethash="1602689084"/>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8941</Words>
  <Characters>51237</Characters>
  <Application>Microsoft Office Word</Application>
  <DocSecurity>0</DocSecurity>
  <Lines>914</Lines>
  <Paragraphs>292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Mravenec</dc:creator>
  <cp:keywords>sidebyside</cp:keywords>
  <cp:lastModifiedBy>Mravenec</cp:lastModifiedBy>
  <cp:revision>3</cp:revision>
  <dcterms:created xsi:type="dcterms:W3CDTF">2017-06-01T11:59:00Z</dcterms:created>
  <dcterms:modified xsi:type="dcterms:W3CDTF">2017-06-01T12:00:00Z</dcterms:modified>
</cp:coreProperties>
</file>